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132 vom 15. Dezember 2025</w:t>
      </w:r>
    </w:p>
    <w:p>
      <w:r>
        <w:t>FR Kantonsgericht, 2025-12-15, FR</w:t>
      </w:r>
    </w:p>
    <w:p>
      <w:r>
        <w:rPr>
          <w:b/>
        </w:rPr>
        <w:t xml:space="preserve">Quelle: </w:t>
      </w:r>
      <w:r>
        <w:t>https://mcp.opencaselaw.ch/entscheid/fr_gerichte_603_2025_132</w:t>
      </w:r>
    </w:p>
    <w:p>
      <w:r>
        <w:t>FR: FR_GERICHTE 603 2025 132 du 15 décembre 2025</w:t>
      </w:r>
    </w:p>
    <w:p>
      <w:r>
        <w:t>IT: FR_GERICHTE 603 2025 132 del 15 dicembre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 celui-ci ayant été suspendu pendant les féries judiciaires du 15 juillet au 15 août (art. 30 al. 2 CPJA) – et les formes prescrits (art. 79 à 81 du code fribourgeois du 23 mai 1991 de procédure et de juridiction administrative, CPJA; RSF 150.1), par le destinataire de la décision attaquée dont le retrait du permis de conduire a été prononcé, le recours est recevable (art. 114 al. 1 let. b CPJA). L'avance des frais de procédure ayant en outre été versée en temps utile, le Tribunal cantonal peut examiner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du permis de conduire.</w:t>
      </w:r>
    </w:p>
    <w:p>
      <w:r>
        <w:rPr>
          <w:b/>
        </w:rPr>
        <w:t>E. 3.1</w:t>
      </w:r>
    </w:p>
    <w:p>
      <w:r>
        <w:t>En principe, l'autorité administrative statuant sur un retrait du permis de conduire ne peut pas s'écarter des constatations de fait d'un jugement pénal entré en force. La sécurité du droit commande en effet d'éviter que l'indépendance de l'autorité pénale et de l'autorité administrative ne conduise à des jugements opposés, rendus sur la base des mêmes faits. L'autorité administrative ne peut s'écarter du jugement pénal que si elle est en mesure de fonder sa décision sur des constatations de fait inconnues de l'autorité pénale ou qui n'ont pas été prises en considération par celle-ci, s'il existe des preuves nouvelles dont l'appréciation conduit à un autre résultat, si l'appréciation à laquelle s'est livrée l'autorité pénale se heurte clairement aux faits constatés, ou si l'autorité pénale n'a pas élucidé toutes les questions de droit, en particulier celles qui touchent à la violation des règles de la circulation (ATF 139 II 95 consid. 3.2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1C_470/2023 du 22 février 2024 consid. 2.1).</w:t>
      </w:r>
    </w:p>
    <w:p>
      <w:r>
        <w:rPr>
          <w:b/>
        </w:rPr>
        <w:t>E. 3.2</w:t>
      </w:r>
    </w:p>
    <w:p>
      <w:r>
        <w:t>En l’espèce, il découle tant du destinataire de l'acte du 4 septembre 2025 que de l'argumentation développée, que le recourant, bien qu'il déclare former opposition à l’ordonnance pénale du Ministère public du 2 décembre 2024, entend remettre en cause la décision de l'OCN prononçant le retrait de son permis de conduire et non la sanction pénale résultant de l'ordonnance pénale du 2 décembre 2024. Or, le recourant n'ayant pas, en temps utile, contesté l’ordonnance</w:t>
      </w:r>
    </w:p>
    <w:p>
      <w:r>
        <w:t>Tribunal cantonal TC Page 4 de 7 pénale, celle-ci est devenue définitive et exécutoire, de sorte que les faits qui y sont retenus doivent être tenus pour établis. Le recourant ne les conteste d'ailleurs pas.</w:t>
      </w:r>
    </w:p>
    <w:p>
      <w:r>
        <w:rPr>
          <w:b/>
        </w:rPr>
        <w:t>E. 4.1</w:t>
      </w:r>
    </w:p>
    <w:p>
      <w:r>
        <w:t>En vertu de l'art. 31 de la loi du 19 décembre 1958 sur la circulation routière (LCR; RS 741.01),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 Le conducteur doit ainsi porter à la route et au trafic toute l'attention possible. Le degré d'attention requis doit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(JEANNERET/KUHN/MIZEL/RISKE, Code suisse de la circulation routière commenté, 5e éd. 2024, art. 31 LCR n. 2.4). Le conducteur surmené qui prend la route, nonobstant les signes de la fatigue, puis s’endort au volant à un carrefour, même en immobilisant son véhicule et en coupant le moteur, viole LCR 31 al. 2 LCR. L'interdiction de prendre le volant résultant de l'art. 31 al. 2 LCR s'applique tant à celui qui est momentanément fatigué ou somnolent qu'à celui qui se trouve sous l'effet passager d'un médicament ou d'une drogue (JEANNERET/KUHN/MIZEL/RISKE, art. 31 LCR n. 2.2.4 et les références).</w:t>
      </w:r>
    </w:p>
    <w:p>
      <w:r>
        <w:rPr>
          <w:b/>
        </w:rPr>
        <w:t>E. 4.2</w:t>
      </w:r>
    </w:p>
    <w:p>
      <w:r>
        <w:t>En l'espèce, au vu des faits établis, il faut constater que le conducteur a violé les dispositions légales précitées. Partant, l'autorité intimée était tenue de prononcer une mesure administrative à son encontre.</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Le législateur conçoit l'infraction moyennement grave énoncée à l'art. 16b al. 1 let. a LCR comme l'élément dit de regroupement: elle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Un danger pour la sécurité d'autrui doit être admis en</w:t>
      </w:r>
    </w:p>
    <w:p>
      <w:r>
        <w:t>Tribunal cantonal TC Page 5 de 7 cas de danger concret ou même de danger abstrait accru. Il y a danger abstrait accru lorsque, compte tenu des conditions particulières du cas, la possibilité d'une mise en danger concrète, voire d'une blessure, est proche (arrêt TF 1C_566/2018 du 14 mai 2019 consid. 2.1).</w:t>
      </w:r>
    </w:p>
    <w:p>
      <w:r>
        <w:rPr>
          <w:b/>
        </w:rPr>
        <w:t>E. 5.2</w:t>
      </w:r>
    </w:p>
    <w:p>
      <w:r>
        <w:t>Le surmenage ou une fatigue extrême est un cas d'incapacité de conduire qui se traduit en général par un assoupissement au volant. Conduire dans un tel état induit une mise en danger abstraite accrue grave de la sécurité routière (ATF 126 II 206 consid. 1a), indépendamment de la survenance d'un accident ou d'éventuelles mesures prises pour ne pas s'endormir (arrêt TF 1C_252/2016 du 15 novembre 2016 consid. 4.2 et les références). Selon la jurisprudence, le surmenage ne consiste pas seulement en un état de fatigue chronique, tel qu'il peut se présenter après une longue période de travail intensif ou après une série de nuits de repos trop courtes. L'interdiction de prendre le volant résultant des dispositions de l'art. 31 LCR et de l'art. 2 al. 1 OCR s'applique tant à celui qui est momentanément fatigué ou somnolent qu'à celui qui se trouve sous l'effet passager d'un médicament ou d'une drogue. Le fait de conduire dans un état de fatigue extrême est aussi dangereux pour la circulation que l'ivresse et celui qui conduit dans cet état occasionne une grave mise en danger de la circulation. Cela étant, en cas de surmenage, la faute grave ne peut être retenue qu'à l'égard du conducteur qui avait conscience du risque de s'endormir, qui aurait dû compter avec un assoupissement ou ressentir les signes avant-coureurs du sommeil (arrêt TC FR 603 2018 142 du 3 décembre 2018 consid. 4.2 et les références). La jurisprudence fédérale a précisé qu'on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brusques freinages, passages des vitesses moins fréquents, louvoiement et perte de la sensation de vitesse; arrêt TF 6A.84/2006 du 27 décembre 2006 consid. 3.2 et les références). Par ailleurs, le fait que durant la phase d'assoupissement, le véhicule poursuive sa trajectoire de manière non maîtrisée, au risque d'entrer en collision avec un obstacle ou un autre véhicule, constitue manifestement une mise en danger abstraite accrue de la sécurité routière, ce risque c’étant d'ailleurs concrétisé lors de cet accident (arrêt TC FR 603 2025 62 du 18 juillet 2025 consid. 5.2 et les références).</w:t>
      </w:r>
    </w:p>
    <w:p>
      <w:r>
        <w:rPr>
          <w:b/>
        </w:rPr>
        <w:t>E. 5.3</w:t>
      </w:r>
    </w:p>
    <w:p>
      <w:r>
        <w:t>En l'espèce, le recourant a expliqué aux agents de police qu'il n'avait aucun souvenir de l'accident, à l'exception de la fumée noire générée par l'ouverture de l'airbag lorsqu'il s'est réveillé derrière le volant. Il a en outre admis qu'il était très fatigué lorsqu'il a pris le volant de son véhicule. Partant, il devait exister des signaux annonciateurs de l'assoupissement. Le recourant est passé outre ce signe de fatigue et a tout de même pris le volant de son véhicule. Au surplus, les autorités pénales ont reconnu le recourant coupable de conduite en état de surmenage et retenu qu'il avait subi un bref assoupissement.</w:t>
      </w:r>
    </w:p>
    <w:p>
      <w:r>
        <w:t>Tribunal cantonal TC Page 6 de 7 Au regard des circonstances du cas d'espèce, rien ne justifie de s'écarter des principes exprimés par la jurisprudence précitée. Il convient donc d'admettre que les conditions de l'art. 16c al. 1 let. c LCR sont réunies. Le recourant a violé, par son comportement, un devoir de prudence élémentaire qui lui était imposé par les circonstances. En effet, en raison de son état de fatigue extrême avant de prendre le volant, il était en incapacité de conduire et aurait dû s'en abstenir. L’ignorance des signes avant-coureurs de l’assoupissement constitue une faute grave.</w:t>
      </w:r>
    </w:p>
    <w:p>
      <w:r>
        <w:rPr>
          <w:b/>
        </w:rPr>
        <w:t>E. 6.1</w:t>
      </w:r>
    </w:p>
    <w:p>
      <w:r>
        <w:t>A teneur de l'art. 16c al. 2 let. a LCR, après une infraction grave, le permis d'élève conducteur ou le permis de conduire est retiré pour trois mois au minimum. La durée minimale du retrait ne peut être réduite. En effet, la règle de l'art. 16 al. 3 dernière phrase LCR, introduite dans la loi par souci d'uniformité, rend incompressible les durées minimales de retrait des permis de conduire, pour quelque raison que ce soit, même pas pour des motifs liés à l'activité professionnelle. Le législateur a ainsi entendu exclure expressément la possibilité ouverte par la jurisprudence sous l'ancien droit de réduire la durée minimale du retrait en présence de circonstances particulières (ATF 132 II 234 consid. 2.3).</w:t>
      </w:r>
    </w:p>
    <w:p>
      <w:r>
        <w:rPr>
          <w:b/>
        </w:rPr>
        <w:t>E. 6.2</w:t>
      </w:r>
    </w:p>
    <w:p>
      <w:r>
        <w:t>En l'espèce, en fixant à trois mois la durée du retrait du permis de conduire, l'autorité intimée ne s'est pas écartée du minimum légal prévu par l'art. 16c al. 2 let. a LCR pour une infraction grave. Il s'ensuit que, conformément à ce qui précède, la Cour de céans n'a aucune marge de manœuvre pour fixer la durée du retrait, même pour les motifs professionnels invoqués par le recourant. Ce dernier ne saurait notamment pas se prévaloir de l'application des exceptions de l'art. 33 al. 5 de l’ordonnance du 27 octobre 1976 réglant l’admission des personnes et des véhicules à la circulation routière (OAC; RS 741.51). En effet, selon cette disposition,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n'est toutefois accordée que pour autant que les conditions suivantes soient réunies: le permis a été retiré à la suite d’une infraction légère au sens de l’art. 16a LCR; il n’a pas été retiré pour une durée indéterminée ou de manière définitive; et il n’a pas été retiré plus d’une fois au cours des cinq années précédentes. La première condition précitée n'étant pas remplie en l'espèce, aucun aménagement du retrait de permis n'est possible. En sus, le fait que le recourant n'ait aucun antécédent en matière de circulation routière est sans incidence. En effet, la loi fixe un plancher incompressible de trois mois pour la première infraction grave.</w:t>
      </w:r>
    </w:p>
    <w:p>
      <w:r>
        <w:rPr>
          <w:b/>
        </w:rPr>
        <w:t>E. 7.1</w:t>
      </w:r>
    </w:p>
    <w:p>
      <w:r>
        <w:t>Pour l'ensemble des motifs qui précèdent, le recours est rejeté et la décision de l'OCN du 3 juillet 2025 confirmée.</w:t>
      </w:r>
    </w:p>
    <w:p>
      <w:r>
        <w:rPr>
          <w:b/>
        </w:rPr>
        <w:t>E. 7.2</w:t>
      </w:r>
    </w:p>
    <w:p>
      <w:r>
        <w:t>Le recourant ayant succombé, les frais de procédure, par CHF 800.-, sont mis à sa charge, conformément à l'art. 131 CPJA et aux art. 1 et 2 du tarif cantonal du 17 décembre 1991 sur les frais de procédure et des indemnités en matière de juridiction administrative (RSF 150.12), et compensés avec l'avance de frais du même montant.</w:t>
      </w:r>
    </w:p>
    <w:p>
      <w:r>
        <w:t>Tribunal cantonal TC Page 7 de 7 la Cour arrête : I. Le recours du 4 septembre 2025 est rejeté. II. Les frais de procédure, fixés à CHF 800.-, sont mis à la charge du recourant. Ils sont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décembre 2025/dbe/lba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