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70 vom 27. Juni 2024</w:t>
      </w:r>
    </w:p>
    <w:p>
      <w:r>
        <w:t>FR Kantonsgericht, 2024-06-27, FR</w:t>
      </w:r>
    </w:p>
    <w:p>
      <w:r>
        <w:rPr>
          <w:b/>
        </w:rPr>
        <w:t xml:space="preserve">Quelle: </w:t>
      </w:r>
      <w:r>
        <w:t>https://mcp.opencaselaw.ch/entscheid/fr_gerichte_603_2024_70</w:t>
      </w:r>
    </w:p>
    <w:p>
      <w:r>
        <w:t>FR: FR_GERICHTE 603 2024 70 du 27 juin 2024</w:t>
      </w:r>
    </w:p>
    <w:p>
      <w:r>
        <w:t>IT: FR_GERICHTE 603 2024 70 del 27 giugno 2024</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Force est d'emblée de constater que le recourant ne conteste pas avoir circulé à la vitesse de 55 km/h, marge de sécurité déduite, à l'intérieur d'une localité, à un endroit limité à 30 km/h, correspondant à un dépassement net de la vitesse maximale autorisée de 25 km/h. Au demeurant, ce fait a également été retenu dans le cadre de l'ordonnance pénale entrée en force.</w:t>
      </w:r>
    </w:p>
    <w:p>
      <w:r>
        <w:rPr>
          <w:b/>
        </w:rPr>
        <w:t>E. 2.2</w:t>
      </w:r>
    </w:p>
    <w:p>
      <w:r>
        <w:t>D'après l'art. 27 al. 1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notamment, à son al. 1, que la vitesse maximale générale peut atteindre, lorsque les conditions de la route, de la circulation et de la visibilité sont favorables, 50 km/h dans les localités (let. a) et 80 km/h hors des localités, à l'exception des semi-autoroutes et des autoroutes (let. b). En outre, son al. 5 énonce que lorsque des signaux indiquent d'autres vitesses maximales, celles-ci sont applicables en lieu et place des limitations générales de vitesse. En l'espèce, la vitesse étant limitée à 30 km/h sur le tronçon concerné, il faut constater que le recourant a violé l'art. 32 al. 5 LCR. Partant, l'OCN se devait de prononcer une mesure administrative à son égard.</w:t>
      </w:r>
    </w:p>
    <w:p>
      <w:r>
        <w:rPr>
          <w:b/>
        </w:rPr>
        <w:t>E. 3.1</w:t>
      </w:r>
    </w:p>
    <w:p>
      <w:r>
        <w:t>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enfin une infraction grave selon l'art. 16c al. 1 let. a LCR, la personne qui, en violant gravement les règles de la circulation, met sérieusement en danger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w:t>
      </w:r>
    </w:p>
    <w:p>
      <w:r>
        <w:t>Tribunal cantonal TC Page 4 de 7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ATF 135 II 138 consid. 2.2.2; arrêt TF 6A.16/2006 du 6 avril 2006 consid. 2.1.1). Quant à l'infraction sanctionnée par l'art. 16c al. 1 let. a LCR, elle correspond en principe à la définition de l'infraction réprimée sur le plan pénal par l'art. 90 al. 2 LCR. Le Tribunal fédéral tient ces notions pour identiques à tous les égards (cf. ATF 132 II 234 consid. 3; arrêt TF 1C_105/2022 du 14 février 2023 consid. 4.1);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(cf. arrêt TF 1C_105/2022 du 14 février 2023 consid. 4.1). Subjectivement, l'art. 90 al. 2 LCR exige un comportement sans scrupules ou gravement contraire aux règles de la circulation, découlant à tout le moins d'une négligence grossière (cf. ATF 142 IV 93 consid. 3.1; 131 IV 133 consid. 3.2).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(cf. arrêt TF 1C_83/2008 du 16 octobre 2008 consid. 5.2).</w:t>
      </w:r>
    </w:p>
    <w:p>
      <w:r>
        <w:rPr>
          <w:b/>
        </w:rPr>
        <w:t>E. 3.2</w:t>
      </w:r>
    </w:p>
    <w:p>
      <w:r>
        <w:t>Pour déterminer la gravité d'un dépassement de vitesse, le Tribunal fédéral a instauré des règles précises afin d'assurer l'égalité de traitement entre conducteurs. Ainsi, selon une jurisprudence constante, il retient qu'à l'intérieur d'une localité, l'infraction est légère en cas de dépassement de vitesse de 16 à 20 km/h, moyennement grave en cas de dépassement de 21 à 24 km/h et grave en cas de dépassement de 25 km/h ou plus (cf. ATF 132 II 234 consid. 3.2; 128 II 131 consid. 2a; 126 II 196 consid. 2a; 124 II 475 consid. 2a). Ces limites n'ont pas été fixées à la légère, mais reposent sur les considérations d'un collège d'experts mandatés par la Cour pénale du Tribunal fédéral. Ces derniers ont relevé que les excès de vitesse représentent une importante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Pour autant qu'ils se comportent correctement, ces autres usagers de la route ne doivent pas compter sur le fait que des véhicules circulent à une vitesse supérieure à celle autorisée et peuvent invoquer le principe de la confiance. Enfin, une collision entre un véhicule automobile et un piéton ou un cycliste, même en cas de dépassement anodin de la vitesse autorisée, peut entraîner des conséquences tragiques, qui ont été mises en évidence dans le rapport du Professeur Felix Walz, de l'Institut de Médecine légale de l'Université de Zurich, du 17 novembre 1994 adressé à la Cour pénale du Tribunal fédéral (cf. ATF 123 II 37 consid. 1d; 121 II 127 consid. 4b). Ces considérations demeurent pleinement valables (cf. arrêt TF 1C_83/2008 du 16 octobre 2008 consid. 5.2). En effet, si les dépassements de la vitesse maximale autorisée ont connu une tendance à la baisse, la vitesse constitue néanmoins</w:t>
      </w:r>
    </w:p>
    <w:p>
      <w:r>
        <w:t>Tribunal cantonal TC Page 5 de 7 toujours l'une des principales causes d'accidents graves de la route et même la cause principale des accidents mortels; elle est également une cause importante de retraits de permis de conduire (cf. rapport SINUS 2021, Niveau de sécurité et accidents dans la circulation routière en 2020, du Bureau de prévention des accidents). La jurisprudence relative aux barèmes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 L'autorité pourra également renoncer au retrait du permis de conduire en présence de circonstances analogues à celles qui justifient de renoncer à une peine en application de l'art. 54 CP (atteinte subie par l'auteur de son acte) ou encore des art. 17 ss CP (cf. arrêts TF 1C_125/2016 du 25 octobre 2016 consid. 3.1; 1C_83/2008 du 16 octobre 2008 consid. 2.1). A teneur de l'art. 18 al. 1 CP, relatif à l'état de nécessité excusable,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En vertu de l'al. 2, l'auteur n'agit pas de manière coupable si le sacrifice du bien menacé ne pouvait être raisonnablement exigé de lui.</w:t>
      </w:r>
    </w:p>
    <w:p>
      <w:r>
        <w:rPr>
          <w:b/>
        </w:rPr>
        <w:t>E. 3.3</w:t>
      </w:r>
    </w:p>
    <w:p>
      <w:r>
        <w:t>En l'occurrence, le recourant a dépassé de 25 km/h la vitesse maximale de 30 km/h annoncée par un panneau de signalisation à l'intérieur d’une localité, ce qui constitue objectivement une infraction grave au sens de l'art. 16c al. 1 let. a LCR et de la jurisprudence précitée. Même si l'excès de vitesse commis se situe juste au-dessus de la limite inférieure du seuil de l'infraction grave, tel que déterminé par la jurisprudence, aucune circonstance particulière ne justifie en l'espèce une appréciation plus nuancée de la gravité de la faute. En particulier, le fait que le recourant fréquente peu cette route, que la vitesse de 30 km/h en Ville de Fribourg était introduite depuis peu, que cette mesure est critiquée par certains milieux ou encore que le recourant soutienne que les conditions de circulation étaient bonnes n'y change rien. En effet, rappelons que l’introduction de la vitesse de 30 km/h en Ville de Fribourg était non seulement largement discutée dans les médias, mais également clairement indiquée par des panneaux. Dans cette optique, il convient de préciser que la dangerosité inhérente à un tel excès de vitesse ne peut être minimisée sous prétexte que la limite était auparavant fixée à un seuil supérieur. C'est la signalisation indiquant une limitation de vitesse à 30 km/h qui est déterminante, car elle conditionne le comportement des autres usagers de la route qui peuvent s'attendre à ce que cette vitesse soit respectée. Lorsqu'un véhicule dépasse cette limite de façon aussi significative, atteignant presque le double de la vitesse autorisée, il en résulte une augmentation notable du danger pour tous les usagers de la route. Cette situation ne saurait être assimilée au risque relatif occasionné par un véhicule circulant à 55 km/h dans une zone où la vitesse est limitée à 50 km/h. En effet, le dépassement excessif de la vitesse prescrite multiplie les dangers de façon exponentielle, dépassant largement les risques associés à un léger excès de vitesse. Ainsi, les principes établis</w:t>
      </w:r>
    </w:p>
    <w:p>
      <w:r>
        <w:t>Tribunal cantonal TC Page 6 de 7 par le Tribunal fédéral (cf. supra consid. 3.2.) s'appliquent pleinement, indépendamment des changements historiques de réglementation sur le tronçon concerné. Les conditions de l'état de nécessité ne sont en outre manifestement pas satisfaites. En effet, le fait de rouler à 55 km/h dans une zone limitée à 30 km/h n'était pas nécessaire pour préserver l’époux de sa connaissance d'un danger imminent et impossible à détourner autrement. Dans un premier temps, le fait de rouler à l’intérieur de la Ville de Fribourg à 55 km/h, au lieu des 30 km/h, autorisé, n’aurait pas raccourci d’une manière significative le temps nécessaire pour arriver au quartier de Pérolles. Dans un second temps, et même si on admet que le conducteur a pu être dans une situation de stress compréhensible, il n'est pas démontré que la personne égarée était dans une situation de danger immédiat qui justifiait d'exposer les autres usagers de la route aux dangers de cet excès de vitesse massif. Enfin, le suivi d’un cours ne peut pas non plus modifier l’appréciation de la gravité de la faute. Partant, l'appréciation de l'OCN, selon laquelle le recourant s'est rendu coupable d'une infraction grave au sens de l'art. 16c al. 1 let. a LCR, qui correspond du reste à celle retenue par le Juge pénal, ne saurait être remise en cause.</w:t>
      </w:r>
    </w:p>
    <w:p>
      <w:r>
        <w:rPr>
          <w:b/>
        </w:rPr>
        <w:t>E. 4.1</w:t>
      </w:r>
    </w:p>
    <w:p>
      <w:r>
        <w:t>A teneur de l'art. 16c al. 2 let. a LCR, après une infraction grave, le permis d'élève conducteur ou le permis de conduire est retiré pour trois mois au minimum.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3e phrase LCR. La règle de l'art. 16 al. 3, dernière phrase, LCR, qui rend incompressibles les durées minimales de retrait des permis de conduire, a été introduite dans la loi par souci d'uniformité.</w:t>
      </w:r>
    </w:p>
    <w:p>
      <w:r>
        <w:rPr>
          <w:b/>
        </w:rPr>
        <w:t>E. 4.2</w:t>
      </w:r>
    </w:p>
    <w:p>
      <w:r>
        <w:t>En fixant à trois mois la durée de l'interdiction de conduire à l'encontre du recourant qui est retraité, l'autorité intimée s'en est tenue au minimum légal prévu par l'art. 16c al. 2 let. a LCR en cas de faute grave. Vu le prescrit de l'art. 16 al. 3, dernière phrase, LCR, cette durée ne peut être réduite, pour quelque motif que ce soit, pas même au regard d'un éventuel besoin professionnel dont pourrait se prévaloir le recourant (sur le nouvel art. 33 al. 5 de l’ordonnance du 27 octobre 1976 réglant l’admission des personnes et des véhicules à la circulation routière [OAC; RS 741.51], cf. arrêt TC FR 603 2024 47 du 10 juin 2024 consid. 5.2).</w:t>
      </w:r>
    </w:p>
    <w:p>
      <w:r>
        <w:rPr>
          <w:b/>
        </w:rPr>
        <w:t>E. 5.1</w:t>
      </w:r>
    </w:p>
    <w:p>
      <w:r>
        <w:t>Pour l'ensemble des motifs qui précèdent, il faut constater que la décision de l'OCN est conforme aux principes de la légalité et de la proportionnalité. Elle doit dès lors être confirmée et le recours rejeté.</w:t>
      </w:r>
    </w:p>
    <w:p>
      <w:r>
        <w:rPr>
          <w:b/>
        </w:rPr>
        <w:t>E. 5.2</w:t>
      </w:r>
    </w:p>
    <w:p>
      <w:r>
        <w:t>Vu l'issue du recours, les frais de procédure, arrêtés à CHF 800.-, doivent être mis à la charge du recourant qui succombe, conformément à l'art. 131 CPJA et aux art. 1 et 2 du tarif du 17 décembre 1991 sur les frais de procédure et des indemnités en matière de juridiction administrative (RSF 150.12). Ils sont compensés par l'avance de frais de même montant prestée le 17 mai 2024.</w:t>
      </w:r>
    </w:p>
    <w:p>
      <w:r>
        <w:t>Tribunal cantonal TC Page 7 de 7 la Cour arrête : I. Le recours est rejeté.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juin 2024/jfr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