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19 vom 24. April 2024</w:t>
      </w:r>
    </w:p>
    <w:p>
      <w:r>
        <w:t>FR Kantonsgericht, 2024-04-24, FR</w:t>
      </w:r>
    </w:p>
    <w:p>
      <w:r>
        <w:rPr>
          <w:b/>
        </w:rPr>
        <w:t xml:space="preserve">Quelle: </w:t>
      </w:r>
      <w:r>
        <w:t>https://mcp.opencaselaw.ch/entscheid/fr_gerichte_603_2024_19</w:t>
      </w:r>
    </w:p>
    <w:p>
      <w:r>
        <w:t>FR: FR_GERICHTE 603 2024 19 du 24 avril 2024</w:t>
      </w:r>
    </w:p>
    <w:p>
      <w:r>
        <w:t>IT: FR_GERICHTE 603 2024 19 del 24 aprile 2024</w:t>
      </w:r>
    </w:p>
    <w:p>
      <w:pPr>
        <w:pStyle w:val="Heading2"/>
      </w:pPr>
      <w:r>
        <w:t>Regeste</w:t>
      </w:r>
    </w:p>
    <w:p>
      <w:r>
        <w:t>Arrêt de la IIIe Cour administrative du Tribunal cantonal | Strassenverkehr und Transportwesen</w:t>
      </w:r>
    </w:p>
    <w:p>
      <w:pPr>
        <w:pStyle w:val="Heading2"/>
      </w:pPr>
      <w:r>
        <w:t>Erwägungen</w:t>
      </w:r>
    </w:p>
    <w:p>
      <w:r>
        <w:rPr>
          <w:b/>
        </w:rPr>
        <w:t>E. 28</w:t>
      </w:r>
    </w:p>
    <w:p>
      <w:r>
        <w:t>km/h. Ces faits et les infractions retenues au niveau pénal ne sont, à juste titre, pas remis en cause par le recourant. 2.2. Selon l'art. 32 al. 2 LCR, le Conseil fédéral limite la vitesse des véhicules automobiles sur toutes les routes. En application de cette disposition, selon l'art. 4a al. 1 let. a de l'ordonnance du 13 novembre 1962 sur la circulation routière (OCR; RS 741.11), la vitesse maximale générale des véhicules peut atteindre 50 km/h dans les localités, lorsque les conditions de la route, de la circulation et de visibilité sont favorables. A l’instar du juge pénal, la Cour retient donc qu’en dépassant de 28 km/h la vitesse autorisée de 50 km/h en localité, le recourant a enfreint l’art. 32 LCR. 3. 3.1. La LCR distingue les infractions légères, moyennement graves et graves (art. 16a à 16c LCR). Conformément à l’art. 16a al. 1 let. a LCR, commet d'abord une infraction légère la personne qui en violant les règles de la circulation, met légèrement en danger la sécurité d’autrui et à laquelle seule une faute bénigne peut être imputée. En vertu de l’art. 16b al. 1 let. a LCR, commet ensuite une infraction moyennement grave la personne qui, en violant les règles de la circulation, crée un danger pour la sécurité d’autrui ou en prend le risque. Enfin, selon l’art. 16c al. 1 let. a LCR,</w:t>
      </w:r>
    </w:p>
    <w:p>
      <w:r>
        <w:t>Tribunal cantonal TC Page 4 de 6 commet une infraction grave la personne qui, en violant les règles de la circulation, met sérieusement en danger la sécurité d’autrui ou en prend le risque. Ainsi, la loi fait la distinction (cf. ATF 123 II 106 consid. 2a) entre les cas de très peu de gravité (art. 16a al. 4 LCR), les cas de peu de gravité (art. 16a al. 1 LCR), les cas de gravité moyenne (art. 16b al. 1 LCR) et les cas graves (art. 16c al. 1 LCR). 3.2. Dans le domaine des excès de vitesse, la jurisprudence a été amenée à fixer des règles précises afin d'assurer l'égalité de traitement entre conducteurs. Ainsi, selon la jurisprudence constante, le cas est objectivement grave, c'est-à-dire sans égard aux circonstances concrètes, en présence d'un dépassement de la vitesse autorisée de 25 km/h ou plus à l'intérieur des localités. Il y a cependant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132 II 234 consid. 3.1; arrêt TF 1C_588/2020 du 25 novembre 2021 consid. 4.1.1). 3.3. En l'espèce, le recourant ne conteste pas, à juste titre, la qualification de la gravité du dépassement de vitesse. L'excès de vitesse commis en localité dépasse de plus de 25 km/h la vitesse autorisée. Par ailleurs, ni le recourant, ni le dossier ne font état de circonstances particulières justifiant de s'écarter, à la baisse, de la jurisprudence constante précitée. Partant, force est de constater que l'autorité intimée n'a pas excédé ou abusé de son pouvoir d'appréciation en qualifiant l'infraction reprochée au recourant de grave au sens de l'art. 16c al. 1 let. a LCR. 4. 4.1. Conformément à l'art. 16c al. 2 LCR, après une infraction grave, le permis d’élève conducteur ou le permis de conduire est retiré: a. pour trois mois au minimum; abis.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au sens de l’art. 90, al. 4, en effectuant des dépassements téméraires ou en participant à des courses de vitesse illicites avec des véhicules automobiles; la durée minimale du retrait peut être réduite de douze mois au plus si une peine de moins d’un an (art. 90, al. 3bis ou 3ter) a été prononcée;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w:t>
      </w:r>
    </w:p>
    <w:p>
      <w:r>
        <w:t>Tribunal cantonal TC Page 5 de 6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 LCR. Dans ce cadre, le point de départ pour le calcul du délai est la fin de l'exécution du précédent retrait (cf. ATF 136 II 447 consid. 5.3; arrêts TF 1C_492/2020 du 18 novembre 2020 consid. 3.1 et les réf. citées).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3e phrase.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(cf. Message du Conseil fédéral concernant la modification de la loi fédérale sur la circulation routière du 31 mars 1999, FF 1999 4106, p. 4131; ég. ATF 132 II 234 consid. 2.3). 4.2. En l'occurrence, le permis de conduire du recourant a déjà été retiré au titre d’un retrait de sécurité d’une durée indéterminé avec un minimum incompressible de 24 mois en application de l’art 16c al. 2 let. d LCR. Cette mesure a été révoquée le 17 août 2018. La période de cinq ans n’était ainsi pas encore échue lorsque le recourant, le 9 août 2023, a commis une nouvelle infraction qualifiée de grave. Dans de telles circonstances, la loi ne permettait pas à l’autorité de prononcer une autre mesure plus clémente que celle du retrait définitif du permis de conduire avec un minimum incompressible de cinq ans (art. 23 al. 3 LCR). Contrairement à ce que pense le recourant, conformément à la jurisprudence susmentionnée, la période probatoire commence à l'expiration du dernier jour de l'exécution du retrait et non pas le jour où l'infraction a été commise ou le jour du prononcé de la décision y relative. Finalement, il n’est pas possible de réduire la durée minimale du retrait, même en présence de la nécessité professionnelle de conduire un véhicule automobile. Partant, c'est à raison que l'autorité intimée a fait application de l'art. 16c al. 2 let. e LCR et a définitivement retiré le permis de conduire du recourant avec un minimum incompressible de cinq ans. 5. 5.1. Pour l'ensemble des motifs qui précèdent, la décision attaquée doit être confirmée et le recours rejeté. 5.2. Vu l'issue du recours, les frais de procédure doivent être mis à la charge du recourant qui succombe (art. 131 CPJA). Ils sont fixés à CHF 800.- et sont compensés par l'avance de frais de même montant prestée par le recourant le 11 mars 2024.</w:t>
      </w:r>
    </w:p>
    <w:p>
      <w:r>
        <w:t>Tribunal cantonal TC Page 6 de 6 la Cour arrête : I. Le recours est rejeté. II. Les frais de procédure de CHF 800.- sont mis à la charge du recourant. Ils sont compensés par l'avance de frais prestée. III.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24 avril 2024/jfr/jud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