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46 vom 24. März 2023</w:t>
      </w:r>
    </w:p>
    <w:p>
      <w:r>
        <w:t>FR Kantonsgericht, 2023-03-24, FR</w:t>
      </w:r>
    </w:p>
    <w:p>
      <w:r>
        <w:rPr>
          <w:b/>
        </w:rPr>
        <w:t xml:space="preserve">Quelle: </w:t>
      </w:r>
      <w:r>
        <w:t>https://mcp.opencaselaw.ch/entscheid/fr_gerichte_603_2023_46</w:t>
      </w:r>
    </w:p>
    <w:p>
      <w:r>
        <w:t>FR: FR_GERICHTE 603 2023 46 du 24 mars 2023</w:t>
      </w:r>
    </w:p>
    <w:p>
      <w:r>
        <w:t>IT: FR_GERICHTE 603 2023 46 del 24 marzo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 frais de procédure ayant en outre été versée en temps utile – le recours est recevable à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 le Tribunal cantonal ne peut pas examiner en l'espèce le grief d'inopportunité (art. 78 al. 2 CPJA).</w:t>
      </w:r>
    </w:p>
    <w:p>
      <w:r>
        <w:rPr>
          <w:b/>
        </w:rPr>
        <w:t>E. 2</w:t>
      </w:r>
    </w:p>
    <w:p>
      <w:r>
        <w:t>La recourante se plaint tout d'abord d'une violation de son droit d'être entendu, dans la mesure où la décision contestée ne mentionne pas les motifs qui ont conduit l'autorité intimée à retenir la commission d'une infraction grave.</w:t>
      </w:r>
    </w:p>
    <w:p>
      <w:r>
        <w:rPr>
          <w:b/>
        </w:rPr>
        <w:t>E. 2.1</w:t>
      </w:r>
    </w:p>
    <w:p>
      <w:r>
        <w:t>Le droit d'être entendu – garanti par l'art. 29 al. 2 Cst., par l'art. 6 par. 1 CEDH et par l'art. 57 CPJA –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(ATF 145 I 73 du 13 février 2019 consid. 7.2.2.1 et les références citées). Le devoir de motiver résulte, en l'absence de dispositions cantonales suffisantes, du respect du principe du droit d'être entendu garanti par l'art. 29 al. 2 Cst. Il découle des principes de l'Etat de</w:t>
      </w:r>
    </w:p>
    <w:p>
      <w:r>
        <w:t>Tribunal cantonal TC Page 4 de 8 droit qu'en règle générale, les motifs d'une décision administrative doivent être énoncés pour faciliter aux parties l'utilisation des voies de droit et à l'autorité de recours l'exercice de son contrôle.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Le respect de l'obligation de motiver une décision administrative sera d'autant plus nécessaire si cette obligation découle, comme en l'espèce, du droit cantonal (cf.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145 IV 99 consid. 3.1; 138 I 232 consid. 5.1).</w:t>
      </w:r>
    </w:p>
    <w:p>
      <w:r>
        <w:rPr>
          <w:b/>
        </w:rPr>
        <w:t>E. 2.2</w:t>
      </w:r>
    </w:p>
    <w:p>
      <w:r>
        <w:t>En l'espèce, la décision de l'OCN du 18 janvier 2023 répond aux exigences minimales de motivation. Elle mentionne l'infraction retenue, les dispositions légales applicables, la qualification de l'infraction et les antécédents de l'intéressée comme conductrice de véhicules automobiles, ainsi que la mesure ordonnée; elle précise également que l'autorité a pris note des observations écrites déposées. Sur la base de ces indications, la recourante – au demeurant représentée par un mandataire professionnel – a pu valablement recourir et faire valoir tous ses griefs par devant l'autorité de céans. En particulier, elle a pu formuler des conclusions claires – en lien notamment avec la qualification juridique de l'infraction et la prolongation de la période probatoire d'une année – lesquelles seront examinées dans le présent arrêt. Dans ces conditions, le grief de violation du droit d'être entendu pour défaut de motivation de la décision doit être écarté.</w:t>
      </w:r>
    </w:p>
    <w:p>
      <w:r>
        <w:rPr>
          <w:b/>
        </w:rPr>
        <w:t>E. 3.1</w:t>
      </w:r>
    </w:p>
    <w:p>
      <w:r>
        <w:t>La recourante, si elle admet l'état de fait retenu par le Ministère public de l'Etat de Fribourg, fait valoir que les faits retenus ne sont pas constitutifs de l'infraction reprochée, au sens de l'art. 16c al. 1 let. d LCR. Partant, l'autorité administrative devait s'écarter de la qualification juridique de l'ordonnance pénale et ne prononcer qu'un simple avertissement au sens de l'art. 16a al. 3 LCR.</w:t>
      </w:r>
    </w:p>
    <w:p>
      <w:r>
        <w:rPr>
          <w:b/>
        </w:rPr>
        <w:t>E. 3.2</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consid. 2 et les références citées).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w:t>
      </w:r>
    </w:p>
    <w:p>
      <w:r>
        <w:t>Tribunal cantonal TC Page 5 de 8 procédure de retrait de permis sera engagée contre lui, il doit faire valoir ses moyens de défense lors de la procédure pénale déjà (ATF 121 II 214 consid. 3a).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TF 6A.82/2006 du 27 décembre 2006 consid. 2.1 et les références citées). Toutefois, l'autorité administrative n'est pas liée par la qualification juridique et peut s'écarter du jugement pénal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w:t>
      </w:r>
    </w:p>
    <w:p>
      <w:r>
        <w:rPr>
          <w:b/>
        </w:rPr>
        <w:t>E. 3.3</w:t>
      </w:r>
    </w:p>
    <w:p>
      <w:r>
        <w:t>En l'espèce, le 28 novembre 2022, l'intéressée a été correctement avisée de l'ouverture de la procédure administrative par l'OCN et du fait qu'une mesure administrative pourrait être prononcée à son encontre. L'autorité intimée a en outre expressément attiré son attention sur son obligation de défendre tous ses droits et d'invoquer tous ses arguments sur le plan pénal et, cas échéant, de former opposition à un jugement qu'elle n'accepterait pas; en effet, elle a été rendue attentive au fait que, par la suite, elle ne pourrait plus contester les faits qui lui seraient reprochés. La recourante a toutefois renoncé à s'opposer à l'ordonnance pénale du 6 décembre 2022 alors qu'elle était pourtant en mesure de le faire, dès lors que l'avis d'ouverture de procédure de l'OCN lui est parvenu au moins une semaine avant le prononcé de l'ordonnance pénale en question. Si la recourante considérait que son comportement n'était pas constitutif d'entrave aux mesures de constatation de l'incapacité de conduire au sens de l'art. 91a al. 1 LCR retenue dans l'ordonnance pénale, elle aurait dû faire valoir ses arguments dans le cadre de la procédure pénale. Ne l'ayant pas fait, force est de considérer comme établi qu'elle a commis cette infraction. Dans le cadre de la présente procédure, la recourante n'a au demeurant fait valoir aucun argument nouveau qu'elle n'aurait pas déjà pu invoquer devant l'autorité pénale. Partant, il y a lieu de retenir qu'en prenant la fuite, la précitée n'a pas respecté ses obligations en cas d'accident, qu'elle a, par la même occasion, entravé les mesures de constatation de l'incapacité de conduire.</w:t>
      </w:r>
    </w:p>
    <w:p>
      <w:r>
        <w:rPr>
          <w:b/>
        </w:rPr>
        <w:t>E. 4.1</w:t>
      </w:r>
    </w:p>
    <w:p>
      <w:r>
        <w:t>La LCR distingue entre les cas de peu de gravité, les cas de gravité moyenne et les cas graves (art. 16a à 16c LCR).</w:t>
      </w:r>
    </w:p>
    <w:p>
      <w:r>
        <w:rPr>
          <w:b/>
        </w:rPr>
        <w:t>E. 4.2</w:t>
      </w:r>
    </w:p>
    <w:p>
      <w:r>
        <w:t>Selon l’art. 16c al. 1 let. d LCR, commet une infraction grave, le conducteur qui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Selon l'art. 91a LCR, l'entrave aux mesures de constatation de l'incapacité de conduire est également punissable sur le plan pénal. La dérobade est liée à la violation des devoirs en cas d'accident. En effet, en cas d'accident, des éclaircissements sur le déroulement des événements s'avèrent nécessaires et l'on peut dès lors dire</w:t>
      </w:r>
    </w:p>
    <w:p>
      <w:r>
        <w:t>Tribunal cantonal TC Page 6 de 8 que le conducteur doit s'attendre avec une haute vraisemblance à ce qu'une mesure visant à établir son alcoolémie soit ordonnée.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d'investigation de l'état d'incapacité de conduire doit apparaître objectivement comme hautement vraisemblable au vu des circonstances (ATF 142 IV 324 consid. 1.1.1). Conformément à l'art. 55 al. 1 LCR, les conducteurs de véhicules, de même que les autres usagers de la route impliqués dans un accident, peuvent être soumis à un alcootest. Il est possible d'ordonner une telle investigation même en l'absence de tout soupçon préalable. Par ailleurs, l'art. 10 al. 1 de l'ordonnance du 28 mars 2007 sur le contrôle de la circulation routière (OCCR; RS 741.013) permet à la police de procéder de manière systématique à des tests préliminaires pour déterminer s'il y a eu consommation d'alcool. En considération de ce qui précède, il y a dès lors lieu, de manière générale, de s'attendre à un contrôle de l'alcoolémie à l'alcootest en cas d'accident, sous réserve que celui-ci soit indubitablement imputable à une cause totalement indépendante du conducteur (ATF 142 IV 324 consid. 1.1.3). Aux termes de l'art. 51 LCR,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L'immédiateté de l'avis requis par la loi doit être interprétée de manière stricte. Celui-ci doit être donné aussi rapidement que les circonstances le permettent. L'auteur ne peut différer l'avis pour des questions de convenance personnelle ou pour ne pas déranger de nuit le lésé. Si celui-ci n'est pas présent sur les lieux et qu'il ne peut être avisé immédiatement, parce qu'il n'est pas connu ou qu'il n'est pas atteignable, l'auteur de l'accident devra aviser la police (arrêt TF 6B_5/2012 du 17 avril 2012 consid. 2.1).</w:t>
      </w:r>
    </w:p>
    <w:p>
      <w:r>
        <w:rPr>
          <w:b/>
        </w:rPr>
        <w:t>E. 4.3</w:t>
      </w:r>
    </w:p>
    <w:p>
      <w:r>
        <w:t>En l'espèce, A.________ a percuté un véhicule à l'arrêt, alors qu'elle tentait de se stationner et a, suite au choc, pris la fuite sans se soucier des dégâts occasionnés. Cet état de fait a été établi par l'autorité pénale dans son ordonnance non contestée du 6 décembre 2022. En raison de l'accident, la recourante avait, conformément à l'art. 51 al. 3 LCR, l'obligation d'avertir tout suite la lésée, et à défaut, elle avait l'obligation d'avertir la police, sans délai. Dans ces circonstances, la recourante devait s'attendre à ce que des mesures de contrôle soient ordonnées pour vérifier son taux d'alcoolémie. Quoi qu'il en soit, dans la mesure où, conformément à l'art. 10 al. 1 OCCR, la police procède quasiment d'office à un alcootest, il était prévisible que la recourante y soit soumise – l'art. 55 LCR ne subordonnant par ailleurs pas cette mesure à la présence d'indices particuliers. Partant, les conditions objectives et subjectives d'une dérobade aux mesures de contrôle au sens de l'art. 91a LCR sont réalisées. C'est dès lors à juste titre que l'autorité intimée a qualifié l'infraction commise par la recourante comme grave au sens de l'art. 16c al. 1 let. d LCR.</w:t>
      </w:r>
    </w:p>
    <w:p>
      <w:r>
        <w:rPr>
          <w:b/>
        </w:rPr>
        <w:t>E. 5.1</w:t>
      </w:r>
    </w:p>
    <w:p>
      <w:r>
        <w:t>En vertu de l'art. 16c al. 2 let. a LCR, après une infraction grave, le permis d'élève conducteur ou le permis de conduire est retiré pour trois mois au minimum.</w:t>
      </w:r>
    </w:p>
    <w:p>
      <w:r>
        <w:t>Tribunal cantonal TC Page 7 de 8 L'art. 16 al. 3 LCR dispose que, pour fixer la durée du retrait du permis d'élève conducteur ou du permis de conduire, les circonstances doivent être prises en considération, notamment l'atteinte à la sécurité routière, la gravité de la faute, les antécédents en tant que conducteur ainsi que la nécessité professionnelle de conduire un véhicule automobile. La durée minimale du retrait ne peut toutefois être réduite.</w:t>
      </w:r>
    </w:p>
    <w:p>
      <w:r>
        <w:rPr>
          <w:b/>
        </w:rPr>
        <w:t>E. 5.2</w:t>
      </w:r>
    </w:p>
    <w:p>
      <w:r>
        <w:t>En l'occurrence, en fixant à trois mois la durée du retrait du permis de conduire de la recourante, l'OCN s'en est tenu à la durée minimale prévue par l'art. 16c al. 2 let. a LCR. Au vu de l'art. 16 al. 3, dernière phrase, LCR, cette durée ne peut être réduite, pour quelque raison que ce soit (ATF 132 II 234 consid. 2.3).</w:t>
      </w:r>
    </w:p>
    <w:p>
      <w:r>
        <w:rPr>
          <w:b/>
        </w:rPr>
        <w:t>E. 6.1</w:t>
      </w:r>
    </w:p>
    <w:p>
      <w:r>
        <w:t>En vertu de l'art. 15a al. 3 LCR,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L'infraction doit s'être produite pendant la période d'essai, peu importe par contre qu'elle soit légère, moyennement grave ou grave, tant qu'elle entraine un retrait de permis d'admonestation (BUSSY/RUSCONI, in Code suisse de la circulation routière commenté, 4e éd. 2015, art. 15a LCR n. 4.2).</w:t>
      </w:r>
    </w:p>
    <w:p>
      <w:r>
        <w:rPr>
          <w:b/>
        </w:rPr>
        <w:t>E. 6.2</w:t>
      </w:r>
    </w:p>
    <w:p>
      <w:r>
        <w:t>En l'espèce, dans la mesure où, au vu de ce qui précède, le retrait de permis est justifié, c'est à juste titre que l'OCN a prolongé d'un an la période probatoire du permis de conduire à l'essai, conformément à l'art. 15a al. 3 LCR.</w:t>
      </w:r>
    </w:p>
    <w:p>
      <w:r>
        <w:rPr>
          <w:b/>
        </w:rPr>
        <w:t>E. 7.1</w:t>
      </w:r>
    </w:p>
    <w:p>
      <w:r>
        <w:t>Pour l'ensemble des motifs exposés ci-dessus, l'OCN n'a pas violé la loi, ni commis aucun excès ou abus de son pouvoir d'appréciation en qualifiant de grave l'infraction commise par la recourante et en la sanctionnant par un retrait de permis de conduire à l'essai pour la durée de trois mois et en prolongeant d'un an la période probatoire de ce permis. Sa décision doit dès lors être confirmée et le recours rejeté.</w:t>
      </w:r>
    </w:p>
    <w:p>
      <w:r>
        <w:rPr>
          <w:b/>
        </w:rPr>
        <w:t>E. 7.2</w:t>
      </w:r>
    </w:p>
    <w:p>
      <w:r>
        <w:t>Vu l'issue du recours, les frais de procédure doivent être mis à la charge de la recourante qui succombe (art. 131 CPJA). Pour les mêmes motifs, il n'est pas alloué d'indemnité de partie (art. 137 CPJA). (dispositif en page suivante)</w:t>
      </w:r>
    </w:p>
    <w:p>
      <w:r>
        <w:t>Tribunal cantonal TC Page 8 de 8 la Cour arrête : I. Le recours est rejeté. II. Les frais de justice, fixés à CHF 800.-, sont mis à la charge de la recourante et compensés par l'avance de frais du même montant.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mars 2023/dbe/sje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