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39 vom 27. April 2023</w:t>
      </w:r>
    </w:p>
    <w:p>
      <w:r>
        <w:t>FR Kantonsgericht, 2023-04-27, FR</w:t>
      </w:r>
    </w:p>
    <w:p>
      <w:r>
        <w:rPr>
          <w:b/>
        </w:rPr>
        <w:t xml:space="preserve">Quelle: </w:t>
      </w:r>
      <w:r>
        <w:t>https://mcp.opencaselaw.ch/entscheid/fr_gerichte_603_2023_39</w:t>
      </w:r>
    </w:p>
    <w:p>
      <w:r>
        <w:t>FR: FR_GERICHTE 603 2023 39 du 27 avril 2023</w:t>
      </w:r>
    </w:p>
    <w:p>
      <w:r>
        <w:t>IT: FR_GERICHTE 603 2023 39 del 27 aprile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w:t>
      </w:r>
    </w:p>
    <w:p>
      <w:r>
        <w:t>L'autorité intimée a retenu que le recourant avait conduit sous l'influence de l'alcool avec un taux de 0,46 mg/l, ce qui n'est pas contesté (cf. également ordonnance pénale du 1er février 2023). Ce fait est donc établi pour juger la présente cause (cf. arrêt TC FR 603 2022 118 du 24 octobre 2022 consid. 3.1 et les réf. cit.).</w:t>
      </w:r>
    </w:p>
    <w:p>
      <w:r>
        <w:rPr>
          <w:b/>
        </w:rPr>
        <w:t>E. 3.1</w:t>
      </w:r>
    </w:p>
    <w:p>
      <w:r>
        <w:t>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55 al. 6 LCR prescrit que l'Assemblée fédérale fixe dans une ordonnance le taux d'alcool dans l'haleine et le taux d'alcool dans le sang à partir desquels les conducteurs sont réputés être dans l'incapacité de conduire au sens de la LCR (état d'ébriété) indépendamment de toute autre preuve et du degré de tolérance individuelle à l'alcool (let. a) ainsi que le taux qualifié d'alcool dans l'haleine et dans le sang (let. b). Selon l'art. 2a al. 2 let. a de l'ordonnance du 13 novembre 1962 sur les règles de la circulation routière (OCR; RS 741.11), il y a influence de l'alcool si le conducteur présente une concentration d'alcool dans l'air expiré de 0,05 mg/l ou plus. 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w:t>
      </w:r>
    </w:p>
    <w:p>
      <w:r>
        <w:rPr>
          <w:b/>
        </w:rPr>
        <w:t>E. 3.2</w:t>
      </w:r>
    </w:p>
    <w:p>
      <w:r>
        <w:t>Ainsi, en l'espèce, le taux de 0,46 mg/l mesuré constitue un taux qualifié et, selon les dispositions précitées, un tel taux est incompatible avec la conduite d'un véhicule automobile. Au vu</w:t>
      </w:r>
    </w:p>
    <w:p>
      <w:r>
        <w:t>Tribunal cantonal TC Page 4 de 7 du texte légal sans équivoque, l'OCN se devait dès lors de sanctionner l'intéressé, ce que le recourant ne conteste pas.</w:t>
      </w:r>
    </w:p>
    <w:p>
      <w:r>
        <w:rPr>
          <w:b/>
        </w:rPr>
        <w:t>E. 4.1</w:t>
      </w:r>
    </w:p>
    <w:p>
      <w:r>
        <w:t>Aux termes de l'art. 16c al. 1 let. b LCR, commet une infraction grave la personne qui conduit un véhicule automobile en état d'ébriété et présente un taux d'alcool qualifié dans l'haleine ou dans le sang. On notera dans ce contexte en particulier que la qualification de faute grave – par l'art. 16c al. 1 let. b LCR, l'art. 55 al. 6 LCR et l'ordonnance parlementaire précitée – ne prévoit pas d'exception, notamment pas au regard de la mise en danger et des éventuelles fautes de circulation, ou encore du degré de tolérance à l'alcool.</w:t>
      </w:r>
    </w:p>
    <w:p>
      <w:r>
        <w:rPr>
          <w:b/>
        </w:rPr>
        <w:t>E. 4.2</w:t>
      </w:r>
    </w:p>
    <w:p>
      <w:r>
        <w:t>Dans ces conditions, c'est à juste titre que l'autorité intimée a qualifié de grave la faute commise le 6 novembre 2022 par le recourant, s'agissant de la conduite sous l'influence de l'alcool.</w:t>
      </w:r>
    </w:p>
    <w:p>
      <w:r>
        <w:rPr>
          <w:b/>
        </w:rPr>
        <w:t>E. 5.1</w:t>
      </w:r>
    </w:p>
    <w:p>
      <w:r>
        <w:t>Selon l'art. 16c al. 2 LCR, après une infraction grave, le permis d'élève conducteur ou le permis de conduire est retiré: " a. pour trois mois au minimum; (…)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w:t>
      </w:r>
    </w:p>
    <w:p>
      <w:r>
        <w:t>Tribunal cantonal TC Page 5 de 7 du contrevenant commandent que l'on s'écarte de la durée normale du retrait (cf. PERRIN, Délivrance et retrait du permis de conduire, 1982, p. 190 et la jurisprudence citée; cf. ég. arrêt TC FR 603 2019 137 du 24 avril 2020 consid. 5.1).</w:t>
      </w:r>
    </w:p>
    <w:p>
      <w:r>
        <w:rPr>
          <w:b/>
        </w:rPr>
        <w:t>E. 5.2</w:t>
      </w:r>
    </w:p>
    <w:p>
      <w:r>
        <w:t>Selon l'art. 15a LCR, le permis de conduire est tout d'abord délivré à l'essai pour trois ans (al. 1). En cas de retrait du permis en raison d'une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(al. 4); cette disposition définit une présomption d'inaptitude à la conduite en cas de seconde infraction entraînant un retrait pendant la période probatoire (cf. arrêt TF 1C_67/2014 du 9 février 2015 consid. 4.1). Dans ce cas, le permis de conduire à l'essai est annulé en vertu de l'art. 35a al. 1 de l'ordonnance du 27 octobre 1976 réglant l'admission des personnes et des véhicules à la circulation routière (OAC; RS 741.51). Un nouveau permis d'élève conducteur peut être délivré au plus tôt un an après l'infraction, sur la base d'une expertise psychologique attestant l'aptitude à conduire; après avoir repassé avec succès l'examen de conduite, la personne concernée obtient un nouveau permis de conduire à l'essai (art. 15a al. 5 et 6 LCR). En ce qui concerne la situation où un retrait du deuxième permis de conduire à l'essai – après l'annulation d'un premier permis à l'essai – est prononcé, le Tribunal fédéral a clarifié, dans son arrêt publié aux ATF 143 II 699, que la disposition légale sur le permis à l'essai revêt une portée en partie autonome. Dès lors, pour se prononcer sur le principe d'un retrait, il n'y a lieu de tenir compte que des infractions commises durant la seconde période d'essai et non des faits commis durant la première période. S'agissant en revanche de la durée du retrait, la réglementation spécifique n'est pas exhaustive. Elle prime certes le système légal ordinaire en cascade applicable aux retraits de permis, mais pas les autres dispositions légales concernant la durée des retraits. Cela signifie en particulier qu'à l'exception des durées minimales qui ne sont pas pertinentes, les critères légaux pour la fixation de la durée du retrait s'appliquent. Les infractions commises durant une période d'essai précédente en font aussi partie. Dans le cas particulier, la Haute Cour a considéré que la durée du retrait fixée à 12 mois, qui correspondait au minimum légal en application du système des cascades, pouvait être confirmée à la lumière de toutes les circonstances de l'espèce (cf. pour le tout ég. arrêt TC FR 603 2022 59 du 4 août 2022 consid. 4).</w:t>
      </w:r>
    </w:p>
    <w:p>
      <w:r>
        <w:rPr>
          <w:b/>
        </w:rPr>
        <w:t>E. 6</w:t>
      </w:r>
    </w:p>
    <w:p>
      <w:r>
        <w:t>Dans la présente occurrence, l'OCN a fixé à douze mois la durée du retrait en tenant notamment compte des antécédents du recourant. Celui-ci soutient qu'une sanction de trois mois serait suffisante dès lors que toutes les infractions commises dans les différentes périodes où il bénéficiait de permis à l'essai doivent être totalement écartées. Cette interprétation de la jurisprudence de la Haute Cour est manifestement erronée. En effet, dans son arrêt 143 II 699, le TF a clairement précisé que les règles sur la fixation de la durée du retrait (art. 16 al. 3 LCR) permettent de tenir compte du passé de l'administré comme conducteur, même si les antécédents remontent à des périodes d'un permis à l'essai annulé. Il a même confirmé dans le cas concret que la durée de retrait de 12 mois – correspondant à la durée légale minimale en application du système des cascades – se justifiait par le biais de l'art. 16 al. 3 LCR.</w:t>
      </w:r>
    </w:p>
    <w:p>
      <w:r>
        <w:t>Tribunal cantonal TC Page 6 de 7 Il ressort du dossier que le recourant a fait l'objet des mesures suivantes: - décision du 23 juillet 2009: refus de délivrance du permis d'élève conducteur (conduite d'un véhicule sans être titulaire du permis requis et vol d'usage); - décision du 30 octobre 2014: retrait du permis à l'essai pour deux mois, prolongation de la période d'essai pour faute moyennement grave (deux dépassements de vitesse); - décision du 21 janvier 2016: annulation du permis à l'essai, infraction légère (vitesse inadaptée, accélération inutile, véhicule défectueux); - décision du 16 février 2017: prolongation du délai de délivrance d'un nouveau permis d'élève conducteur pour faute moyennement grave (vol d'usage et conduite d'une voiture sans permis); - décision du 3 juillet 2019: retrait du nouveau permis à l'essai de quatre mois pour faute moyennement grave (conduite sans permis pour la catégorie requise). Au vu de ses antécédents, le recourant, né en 1993, devait porter une attention toute particulière à prouver qu'il était capable de respecter les règles de la circulation routière. Le fait de conduire en état ébriété qualifié comporte en outre un risque indéniable pour le conducteur et les autres usagers de la route, cela également de nuit et dans des circonstances où la présence d'autres usagers est faible. Le recourant ne peut pas minimiser la faute commise – soit la conduite sous l'influence de l'alcool avec un taux qualifié – et le danger en résultant en invoquant que le taux de 0.40 mg/l est dépassé de peu seulement. On ajoute que le fait de prendre le volant après avoir consommé de l'alcool est le fruit d'un acte volontaire dont les conséquences et risques sont notoires. Dans de telles conditions, l'aggravation de la durée de retrait, du minimum de trois mois prévus en cas d'infraction grave sans antécédents (cf. art. 16c al. 2 let. a LCR) à douze mois, respecte manifestement l'art. 16 al. 3 LCR et cela même en tenant compte d'un besoin professionnel. Celui- ci ne peut pas conduire à une autre appréciation du passé de ce conducteur relativement jeune et de son problème récurrent de ne pas être en mesure de respecter les règles de la circulation routière. Par ailleurs, il est finalement souligné que le système des cascades conduirait à une sanction bien plus lourde en application de l'art. 16c al. 2 let. d LCR (durée indéterminée avec un minimum incompressible de deux ans).</w:t>
      </w:r>
    </w:p>
    <w:p>
      <w:r>
        <w:rPr>
          <w:b/>
        </w:rPr>
        <w:t>E. 7</w:t>
      </w:r>
    </w:p>
    <w:p>
      <w:r>
        <w:t>Sur le vu de ce qui précède, l'OCN n'a manifestement pas violé la loi, ni commis un abus ou un excès de son pouvoir d'appréciation en prononçant à l'endroit du recourant un retrait du permis de conduire d'une durée de douze mois.</w:t>
      </w:r>
    </w:p>
    <w:p>
      <w:r>
        <w:rPr>
          <w:b/>
        </w:rPr>
        <w:t>E. 8</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w:t>
      </w:r>
    </w:p>
    <w:p>
      <w:r>
        <w:t>Tribunal cantonal TC Page 7 de 7 la Cour arrête : I. Le recours est rejeté. II. Les frais de procédure, par CHF 800.-,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avril 2023/jfr/vth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