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87 vom 29. Juli 2022</w:t>
      </w:r>
    </w:p>
    <w:p>
      <w:r>
        <w:t>FR Kantonsgericht, 2022-07-29, FR</w:t>
      </w:r>
    </w:p>
    <w:p>
      <w:r>
        <w:rPr>
          <w:b/>
        </w:rPr>
        <w:t xml:space="preserve">Quelle: </w:t>
      </w:r>
      <w:r>
        <w:t>https://mcp.opencaselaw.ch/entscheid/fr_gerichte_603_2022_87</w:t>
      </w:r>
    </w:p>
    <w:p>
      <w:r>
        <w:t>FR: FR_GERICHTE 603 2022 87 du 29 juillet 2022</w:t>
      </w:r>
    </w:p>
    <w:p>
      <w:r>
        <w:t>IT: FR_GERICHTE 603 2022 87 del 29 luglio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3 de 6 expresse, le Tribunal cantonal ne peut pas examiner en l'espèce le grief d'inopportunité (art. 78 al. 2 CPJA).</w:t>
      </w:r>
    </w:p>
    <w:p>
      <w:r>
        <w:rPr>
          <w:b/>
        </w:rPr>
        <w:t>E. 2.1</w:t>
      </w:r>
    </w:p>
    <w:p>
      <w:r>
        <w:t>Force est d'emblée de constater que la recourante ne conteste pas avoir circulé à la vitesse de 126 km/h, marge de sécurité déduite, sur l'autoroute, à un endroit limité à 100 km/h, correspondant à un dépassement net de la vitesse maximale autorisée de 26 km/h. Au demeurant, ce fait a également été retenu dans l'ordonnance pénale du 22 mars 2022, qui est entrée en force.</w:t>
      </w:r>
    </w:p>
    <w:p>
      <w:r>
        <w:rPr>
          <w:b/>
        </w:rPr>
        <w:t>E. 2.2</w:t>
      </w:r>
    </w:p>
    <w:p>
      <w:r>
        <w:t>D'après l'art. 27 al. 1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120 km/h sur les autoroutes (let. d). En outre, son al. 5 énonce que lorsque des signaux indiquent d'autres vitesses maximales, celles-ci sont applicables en lieu et place des limitations générales de vitesse. En l'espèce, au vu des faits établis, il faut constater que la recourante a violé les dispositions légales précitées. Partant, l'OCN se devait de prononcer une mesure administrative à son égard.</w:t>
      </w:r>
    </w:p>
    <w:p>
      <w:r>
        <w:rPr>
          <w:b/>
        </w:rPr>
        <w:t>E. 3.1</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w:t>
      </w:r>
    </w:p>
    <w:p>
      <w:r>
        <w:t>Tribunal cantonal TC Page 4 de 6</w:t>
      </w:r>
    </w:p>
    <w:p>
      <w:r>
        <w:rPr>
          <w:b/>
        </w:rPr>
        <w:t>E. 3.2</w:t>
      </w:r>
    </w:p>
    <w:p>
      <w:r>
        <w:t>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(arrêt TF 1C_83/2008 du 16 octobre 2008 consid. 5.2). Dans le domaine des excès de vitesse, la jurisprudence a été amenée à fixer des règles précises afin d'assurer l'égalité de traitement entre conducteurs. Ainsi, le cas est objectivement grave, c'est- 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Le Tribunal fédéral retient aussi que sur l'autoroute l'infraction est légère en cas de dépassement de vitesse de 26 à 30 km/h (cf. ATF 128 II 86 consid 2b; ATF 124 II 475 consid. 2a).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w:t>
      </w:r>
    </w:p>
    <w:p>
      <w:r>
        <w:rPr>
          <w:b/>
        </w:rPr>
        <w:t>E. 3.3</w:t>
      </w:r>
    </w:p>
    <w:p>
      <w:r>
        <w:t>En l'occurrence, la recourante a dépassé de 26 km/h la vitesse maximale de 100 km/h annoncée par un panneau de signalisation, ce qui constitue objectivement une infraction légère au sens de l'art. 16a al. 1 let. a LCR et de la jurisprudence précitée. Même si l'excès de vitesse commis se situe juste au-dessus de la limite inférieure du seuil de l'infraction légère, tel que déterminé par la jurisprudence, aucune circonstance particulière ne justifie en l'espèce une appréciation plus nuancée de la gravité de la faute. En particulier, le fait que la visibilité dans le tunnel était bonne n'y change rien. En effet, rappelons que la vitesse de 100 km/h constitue le maximum qui ne peut être atteint qu'en présence de conditions favorables, ce d'autant plus que la réduction de la vitesse dans un tunnel autoroutier poursuit précisément des buts de sécurité. Les circonstances de l'espèce n'ont dès lors rien d'exceptionnel. Partant, l'appréciation de l'OCN, selon laquelle la recourante s'est rendue coupable d'une infraction légère au sens de l'art. 16a al. 1 let. a LCR, ne saurait être remise en cause.</w:t>
      </w:r>
    </w:p>
    <w:p>
      <w:r>
        <w:rPr>
          <w:b/>
        </w:rPr>
        <w:t>E. 4.1</w:t>
      </w:r>
    </w:p>
    <w:p>
      <w:r>
        <w:t>L'art. 45 al. 1, 1ère phrase, de l'ordonnance du 27 octobre 1976 réglant l'admission des personnes et des véhicules à la circulation routière (OAC; RS 741.51) – reposant notamment sur l'art. 42 al. 1 de la convention de Vienne sur la circulation routière (RS 0.741.10) – prévoit que l'usage d'un permis étranger peut être interdit en vertu des dispositions qui s'appliquent au retrait du permis de conduire suisse.</w:t>
      </w:r>
    </w:p>
    <w:p>
      <w:r>
        <w:t>Tribunal cantonal TC Page 5 de 6</w:t>
      </w:r>
    </w:p>
    <w:p>
      <w:r>
        <w:rPr>
          <w:b/>
        </w:rPr>
        <w:t>E. 4.2</w:t>
      </w:r>
    </w:p>
    <w:p>
      <w:r>
        <w:t>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mesure administrative n'a été prononcée (al. 3).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4.3</w:t>
      </w:r>
    </w:p>
    <w:p>
      <w:r>
        <w:t>En l'occurrence, la recourante s'est vue signifier un avertissement par décision du 8 mai 2020 pour une infraction légère commise le 10 janvier 2020 (occupation accessoire [manipulation du téléphone portable] ne permettant plus de vouer toute son attention à la route). Partant, en fixant à un mois la durée de l'interdiction de conduire de la recourante, l'autorité s'en est tenue à la durée minimale prévue par l'art. 16a al. 2 LCR. Au vu de l'art. 16 al. 3, dernière phrase, LCR, cette durée ne peut être réduite, pour quelque raison que ce soit (cf. ATF 132 II 234), et donc pas non plus pour les motifs invoqués par la recourante, liés à son activité professionnelle.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w:t>
      </w:r>
    </w:p>
    <w:p>
      <w:r>
        <w:rPr>
          <w:b/>
        </w:rPr>
        <w:t>E. 5.1</w:t>
      </w:r>
    </w:p>
    <w:p>
      <w:r>
        <w:t>Pour l'ensemble des motifs qui précèdent, il faut constater que la décision de l'autorité est conforme aux principes de la légalité et de la proportionnalité. Elle doit dès lors être confirmée et le recours rejeté.</w:t>
      </w:r>
    </w:p>
    <w:p>
      <w:r>
        <w:rPr>
          <w:b/>
        </w:rPr>
        <w:t>E. 5.2</w:t>
      </w:r>
    </w:p>
    <w:p>
      <w:r>
        <w:t>Vu l'issue du recours, les frais de procédure doivent être mis à la charge de la recourante qui succombe, conformément à l'art. 131 CPJA et aux art. 1 et 2 du tarif fribourgeois du 17 décembre 1991 des frais de procédure et des indemnités en matière de juridiction administrative (RSF 150.12). la Cour arrête : I. Le recours est rejeté. II. Les frais de procédure, par CHF 800.-, sont mis à la charge de la recourante. Ils sont compensés par l'avance de frais versée. III. Notification.</w:t>
      </w:r>
    </w:p>
    <w:p>
      <w:r>
        <w:t>Tribunal cantonal TC Page 6 de 6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juillet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