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62 vom 1. Juni 2022</w:t>
      </w:r>
    </w:p>
    <w:p>
      <w:r>
        <w:t>FR Kantonsgericht, 2022-06-01, FR</w:t>
      </w:r>
    </w:p>
    <w:p>
      <w:r>
        <w:rPr>
          <w:b/>
        </w:rPr>
        <w:t xml:space="preserve">Quelle: </w:t>
      </w:r>
      <w:r>
        <w:t>https://mcp.opencaselaw.ch/entscheid/fr_gerichte_603_2022_62</w:t>
      </w:r>
    </w:p>
    <w:p>
      <w:r>
        <w:t>FR: FR_GERICHTE 603 2022 62 du 1 juin 2022</w:t>
      </w:r>
    </w:p>
    <w:p>
      <w:r>
        <w:t>IT: FR_GERICHTE 603 2022 62 del 1 giugno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le recours est recevable à la forme et la Cour de céans peut en examiner les mérites. Il est précisé que la décision du 6 janvier 2022 a dû être publiée dans la Feuille officielle par l'autorité puisqu'elle ne pouvait pas être notifiée à l'adresse indiquée par le recourant à la police.</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KNAPP, Précis de droit administratif, 4e éd., 1991, n. 38). S'agissant de questions purement juridiques, comme celle de la gravité de la faute, l'autorité administrative n'est pas liée par l'appréciation du juge pénal (cf. ATF 115 Ib 163 consid. 2a; arrêts TC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de la loi du 19 décembre 1958 sur la circulation routière (LCR; RS 741.01)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 arrêt TC FR 603 2015 174 du 24 novembre 2015).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w:t>
      </w:r>
    </w:p>
    <w:p>
      <w:r>
        <w:t>Tribunal cantonal TC Page 4 de 9 litigieux sont pertinents dans le cadre de la procédure administrative. Des exceptions à ce principe ne sont admissibles que s'il n'existe aucun doute quant à la réalisation des conditions de l'infraction (p. ex. conduite en état d'ivresse prouvée par une prise de sang dont le résultat n'est pas contesté). Formellement, il convient de surseoir à la décision au lieu de rendre une ordonnance de non-lieu.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(ATF 119 Ib 158 / JdT 1994 I 675 consid. 2c/bb; cf. ég. arrêt TC FR 603 2020 134 du 16 novembre 2020).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1c/bb et les références citées).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w:t>
      </w:r>
    </w:p>
    <w:p>
      <w:r>
        <w:rPr>
          <w:b/>
        </w:rPr>
        <w:t>E. 2.2</w:t>
      </w:r>
    </w:p>
    <w:p>
      <w:r>
        <w:t>Dans le cas particulier, la décision attaquée a été prononcée après que le jugement pénal a été rendu. Cela étant, le recourant se plaint qu'il n'a pas pu prendre connaissance du rapport de police sur lequel s'est fondée l'ordonnance pénale. Puisqu'en l'espèce, la notification de celle-ci s'est faite par la publication dans la Feuille officielle, il y a lieu de rappeler ce qui suit. L'art. 26 de l'ordonnance du 27 octobre 1976 réglant l'admission des personnes et des véhicules à la circulation routière (OAC; RS 741.51) impose au titulaire du permis de conduire de communiquer, lors d'un changement de domicile, sa nouvelle adresse à l'autorité compétente au nouveau lieu de domicile dans les quatorze jours. Si celui-ci est à l'étranger, il doit annoncer son départ à l'autorité compétente jusque-là. Selon l'art. 88 du code du 5 octobre 2007 de procédure pénale (CPP; RS 312.0) la notification a lieu dans la Feuille officielle désignée par le canton ou la Confédération lorsque le lieu de séjour du destinataire est inconnu et n'a pas pu être déterminé en dépit des recherches qui peuvent raisonnablement être exigées (al. 1 let. a), la notification est impossible ou ne serait possible que moyennant des démarches disproportionnées (al. 1 let. b) ou une partie ou son conseil n'a pas désigné un domicile de notification en Suisse, alors qu'ils ont leur domicile, leur résidence habituelle ou leur siège à l'étranger (al. 1 let. c). La notification est réputée avoir eu lieu le jour de sa publication (al. 2). Finalement, l'art. 20 de la loi vaudoise du 19 mai 2009 d'introduction du code de procédure pénale suisse (LVCPP; RSVD 312.01) prescrit que la notification par publication officielle a lieu dans la Feuille des avis officiels du canton de Vaud. Puisque l'autorité préfectorale vaudoise a été dans l'impossibilité de notifier l'ordonnance pénale au recourant, elle a – en application des articles précédents – procédé à sa publication dans la Feuille officielle. Le recourant a indiqué, lors de l'événement survenu le 4 mai 2021, être domicilié à E.________ dans le canton de Fribourg. S'il a déménagé entretemps, respectivement n'a jamais déposé ses papiers à l'adresse indiquée, il ne peut s'en prendre qu'à lui-même et doit assumer les conséquences de la notification par publication dans la Feuille officielle. A cela s'ajoute que le recourant a</w:t>
      </w:r>
    </w:p>
    <w:p>
      <w:r>
        <w:t>Tribunal cantonal TC Page 5 de 9 manifestement pris connaissance de cette décision puisqu'il s'est acquitté de l'amende. S'il était d'avis que l'ordonnance du 6 septembre 2021 ne lui avait pas été notifiée valablement et qu'il n'aurait de ce fait pas pu prendre connaissance du rapport de police et se défendre, il aurait dû s'en plaindre dans le cadre de cette procédure pénale. En outre, après l'événement du 4 mai 2021, le recourant devait s'attendre à recevoir des communications en lien avec ce dernier et aurait donc dû prendre ses dispositions pour que celles-ci lui parviennent, ce qu'il n'a manifestement pas fait. Partant, le recourant est mal venu de présenter sa propre version de l'événement du 4 mai 2021 et de vouloir contester, dans la procédure administrative, des faits qui ont fait l'objet d'une procédure pénale dans laquelle le jugement est entré en force. La Cour de céans est dès lors habilitée à se fonder sur les constatations de fait du jugement pénal entré en force.</w:t>
      </w:r>
    </w:p>
    <w:p>
      <w:r>
        <w:rPr>
          <w:b/>
        </w:rPr>
        <w:t>E. 3</w:t>
      </w:r>
    </w:p>
    <w:p>
      <w:r>
        <w:t>En l'espèce, il est reproché au recourant d'avoir circulé sur la voie de gauche de l'autoroute à une distance insuffisante du véhicule qui le précédait (vitesse d'environ 120 km/h, distance de 20 m sur un parcours d'environ 200 m). Les faits ont été établis par l'autorité pénale dans son ordonnance non contestée du 6 septembre 2021, sur la base du rapport de police du 18 mai 2021.</w:t>
      </w:r>
    </w:p>
    <w:p>
      <w:r>
        <w:rPr>
          <w:b/>
        </w:rPr>
        <w:t>E. 3.1</w:t>
      </w:r>
    </w:p>
    <w:p>
      <w:r>
        <w:t>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que, lorsque des véhicules se suivent, le conducteur doit se tenir à une distance suffisante du véhicule qui le précède, afin de pouvoir s'arrêter à temps en cas de freinage inattendu.</w:t>
      </w:r>
    </w:p>
    <w:p>
      <w:r>
        <w:rPr>
          <w:b/>
        </w:rPr>
        <w:t>E. 3.2</w:t>
      </w:r>
    </w:p>
    <w:p>
      <w:r>
        <w:t>Il est établi que le recourant a violé les dispositions qui précèdent, de sorte qu'une mesure administrative devait être prononcée à son endroit.</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A teneur de l'art. 16c al. 1 let. a LCR, commet une infraction grave la personne qui, en violant gravement les règles de la circulation, met sérieusement en danger la sécurité d'autrui ou en prend le risque.</w:t>
      </w:r>
    </w:p>
    <w:p>
      <w:r>
        <w:t>Tribunal cantonal TC Page 6 de 9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cf. également ATF 124 II 259 consid. 2b-aa et les références citées). Il ne saurait en revanche être question de tenir compte des besoins professionnels de l'intéressé, ceux-ci ne jouant un rôle que lorsqu'il s'agit de mesurer la durée du retrait (cf. arrêt TC FR 603 2016 227 du</w:t>
      </w:r>
    </w:p>
    <w:p>
      <w:r>
        <w:rPr>
          <w:b/>
        </w:rPr>
        <w:t>E. 4.2</w:t>
      </w:r>
    </w:p>
    <w:p>
      <w:r>
        <w:t>Les dispositions relatives à une distance suffisante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consid. 3; arrêts TF 1C_502/2011 du 6 mars 2012 consid. 3.1; 1C_590/2015 du 10 août 2016 consid. 3.2; 1C_26/2018 du 15 juin 2018 consid. 2.1).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(cf. BUSSY/RUSCONI, Code suisse de la circulation routière commenté, 2015, art. 34 LCR n. 5.2). La jurisprudence n'a pas fixé de distances minima à respecter au-delà desquelles il y aurait infractions, simple, moyennement grave ou grave, à la LCR. La règle des deux secondes ou du "demi-compteur" (correspondant à un intervalle de 1,8 seconde) sont des standards minima habituellement reconnus (ATF 131 IV 133 consid. 3.1). Cet intervalle doit en principe être maintenu entre chaque véhicule, sous peine de compromettre gravement la sécurité de la circulation (JdT 1994 I 684, 1993 I 694, 1988 I 650). Prenant en compte la pratique allemande et la doctrine, la jurisprudence a cependant considéré que le cas peut être grave lorsque l'intervalle entre les véhicules est inférieur à 0,8 voire 0,6 seconde (ATF 131 IV 133 consid. 3.2.2 et les références citées). Ainsi, une faute grave a été retenue lorsqu'un automobiliste avait, sur une distance de 800 m environ et à une vitesse supérieure à 100 km/h, suivi le véhicule le précédant sur la voie de gauche de l'autoroute avec un écart de moins de 10 m, correspondant à 0,3 seconde de temps de parcours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w:t>
      </w:r>
    </w:p>
    <w:p>
      <w:r>
        <w:rPr>
          <w:b/>
        </w:rPr>
        <w:t>E. 4.3</w:t>
      </w:r>
    </w:p>
    <w:p>
      <w:r>
        <w:t>En l'espèce, il ressort du jugement pénal, respectivement du rapport de police, qu'alors qu'il circulait sur l'autoroute à la vitesse d'environ 120 km/h, le recourant a suivi sur 200 m un véhicule à une distance de 20 m, ce qui correspond à 0,6 seconde de temps de parcours. Il a ainsi franchi la</w:t>
      </w:r>
    </w:p>
    <w:p>
      <w:r>
        <w:t>Tribunal cantonal TC Page 8 de 9 limite de 0,8 mentionnée par la jurisprudence précitée, au-dessous de laquelle les cas sont considérés comme graves. Cette qualification peut être confirmée en l'espèce dès lors que le recourant n'a pas respecté une distance suffisante sur plus de 200 m, ce qui exclut la simple inattention momentanée de sa part et démontre qu'il a délibérément enfreint une règle élémentaire de prudence qui doit s'imposer à tout automobiliste, en adoptant une manière de conduire dont le caractère dangereux ne pouvait lui échapper. Vu la vitesse élevée à laquelle circulent les véhicules sur l'autoroute, ce comportement était manifestement de nature à occasionner une mise en danger. Cette trop courte distance n'aurait pas permis au recourant, en cas de freinage d'urgence du véhicule qui le précédait ou de ralentissement subit de la circulation, de réagir à temps pour éviter la collision. Ce fait est clairement confirmé dans le rapport de police, établi par les agents qui ont observé la situation. Or, il est reconnu qu'une collision sur l'autoroute est source de graves dangers pour les usagers de la route impliqués et qu'elle est de surcroît de nature à occasionner des collisions en chaîne, lesquelles résultent très souvent précisément d'un non-respect des distances entre les véhicules. L'on doit retenir, dans ces conditions, que le recourant a pris le risque de mettre en danger la sécurité de la route, lequel doit à tout le moins être qualifié de moyennement grave; que ce risque ne se soit heureusement pas concrétisé relève du cas fortuit qui ne saurait profiter à l'intéressé. Dès lors, aussi bien la faute que la mise en danger qui en a résulté ne sauraient manifestement être qualifiées de légères au sens du consid. 4.1, ainsi que l'allègue – à tout le moins implicitement – le recourant. 5. 5.1. En vertu de l'art. 16b al. 2 let. a LCR, après une infraction moyennement grave, le permis d'élève conducteur ou le permis de conduire est retiré pour la durée d'un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(ATF 132 II 234 consid. 2.3). 5.2. En l'occurrence, en fixant à un mois la durée du retrait du permis de conduire de l'intéressé, la CMA s'en est tenue à la durée minimale légale prévue par l'art. 16b al. 2 let. a LCR. Autrement dit, un éventuel besoin professionnel de disposer du permis ou un autre motif ne peut pas conduire à une réduction de la durée du retrait, déjà limitée au minimum légal. 6. Mal fondé, le recours doit dès lors être rejeté et la décision de la CMA confirmée. Vu l'issue du recours, les frais de procédure doivent être mis à la charge du recourant qui succombe (art. 131 CPJA).</w:t>
      </w:r>
    </w:p>
    <w:p>
      <w:r>
        <w:t>Tribunal cantonal TC Page 9 de 9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juin 2022/jfr/vth La Présidente : La Greffière-rapporteure :</w:t>
      </w:r>
    </w:p>
    <w:p>
      <w:r>
        <w:rPr>
          <w:b/>
        </w:rPr>
        <w:t>E. 8</w:t>
      </w:r>
    </w:p>
    <w:p>
      <w:r>
        <w:t>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arrêt TF 6A.16/2006 du 6 avril 2006 consid. 2.1.1 et les références citées).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Commet une infraction grave, selon l'art. 16c al. 1 let. a LCR, la personne qui, en violant gravement les règles de la circulation, met sérieusement en danger la sécurité d'autrui ou en prend le risque. L'application de l'art. 16c al. 1 let. a LCR est subordonnée à la double gravité de la faute commise et de la mise en danger objective (ATF 132 II 234 consid. 3; MIZEL, p. 397). Pour réaliser l'élément de la faute grave, la jurisprudence exige un comportement gravement contraire aux règles de la circulation routière, découlant au moins d'une négligence grossière (ATF 131 IV 133 consid. 3.2;</w:t>
      </w:r>
    </w:p>
    <w:p>
      <w:r>
        <w:t>Tribunal cantonal TC Page 7 de 9 118 IV 84 consid. 2a). La faute grave sera ainsi donnée lorsque l'auteur est conscient du danger sérieux que représente son comportement contraire aux règles de la circulation (ATF 126 IV 192; 131 IV 133 consid. 3.2) ou encore lorsque son comportement témoigne d'un mépris pour les autres usagers (arrêt TF 1C_425/2012 du 17 décembre 2012 consid. 4.2). L'auteur doit avoir violé, par son comportement ou par une simple absence passagère, un devoir de prudence élémentaire qui lui était imposé de manière évidente par les circonstances. Parallèlement,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et les références citées).</w:t>
      </w:r>
    </w:p>
    <w:p>
      <w:r>
        <w:rPr>
          <w:b/>
        </w:rPr>
        <w:t>E. 10</w:t>
      </w:r>
    </w:p>
    <w:p>
      <w:r>
        <w:t>m (arrêt TF 1C_413/2014 du 30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