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60 vom 6. Juli 2022</w:t>
      </w:r>
    </w:p>
    <w:p>
      <w:r>
        <w:t>FR Kantonsgericht, 2022-07-06, FR</w:t>
      </w:r>
    </w:p>
    <w:p>
      <w:r>
        <w:rPr>
          <w:b/>
        </w:rPr>
        <w:t xml:space="preserve">Quelle: </w:t>
      </w:r>
      <w:r>
        <w:t>https://mcp.opencaselaw.ch/entscheid/fr_gerichte_603_2022_60</w:t>
      </w:r>
    </w:p>
    <w:p>
      <w:r>
        <w:t>FR: FR_GERICHTE 603 2022 60 du 6 juillet 2022</w:t>
      </w:r>
    </w:p>
    <w:p>
      <w:r>
        <w:t>IT: FR_GERICHTE 603 2022 60 del 6 luglio 2022</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w:t>
      </w:r>
    </w:p>
    <w:p>
      <w:r>
        <w:rPr>
          <w:b/>
        </w:rPr>
        <w:t>E. 2.2</w:t>
      </w:r>
    </w:p>
    <w:p>
      <w:r>
        <w:t>En l'espèce, les faits sont établis et ne sont en soi pas contestés par le recourant. L'intéressé déclare dans son recours avoir été distrait par le bruit de ses enfants à l'arrière, alors que le rapport de police mentionne qu'il s'est tourné vers l'arrière pour vérifier que ceux-ci dormaient. Il n'est pas nécessaire de savoir ce qu'il en est dès lors que tant l'autorité pénale que la CMA ont simplement retenu qu'il a fait preuve d'inattention, ce qu'il ne conteste pas. L'intéressé a ensuite perdu la maîtrise</w:t>
      </w:r>
    </w:p>
    <w:p>
      <w:r>
        <w:t>Tribunal cantonal TC Page 4 de 7 de son véhicule sur la neige au sortir de l'autoroute et causé un accident ayant entraîné des dégâts matériels à son véhicule et aux infrastructures routières. Seule est litigieuse la qualification de la faute faite par l'autorité intimée. L'autorité pénale a condamné l'intéressé pour violation simple des règles sur la circulation routière. La CMA a estimé quant à elle que la faute commise était de moyenne gravité.</w:t>
      </w:r>
    </w:p>
    <w:p>
      <w:r>
        <w:rPr>
          <w:b/>
        </w:rPr>
        <w:t>E. 3.1</w:t>
      </w:r>
    </w:p>
    <w:p>
      <w:r>
        <w:t>La LCR distingue les infractions légères, moyennement graves et graves (art. 16a à 16c LCR). Conformément à l’art. 16a al. 1 let. a LCR, commet un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(cf. art. 16a al. 3 LCR). En vertu de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w:t>
      </w:r>
    </w:p>
    <w:p>
      <w:r>
        <w:t>Tribunal cantonal TC Page 5 de 7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126 II 192 consid. 2b; 125 II 561 consid. 2b).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w:t>
      </w:r>
    </w:p>
    <w:p>
      <w:r>
        <w:rPr>
          <w:b/>
        </w:rPr>
        <w:t>E. 3.2</w:t>
      </w:r>
    </w:p>
    <w:p>
      <w:r>
        <w:t>Le recourant est d'avis que l'inattention qui a conduit à l'accident du 18 décembre 2021 a été jugée d'une manière trop sévère par la CMA.</w:t>
      </w:r>
    </w:p>
    <w:p>
      <w:r>
        <w:rPr>
          <w:b/>
        </w:rPr>
        <w:t>E. 3.2.1</w:t>
      </w:r>
    </w:p>
    <w:p>
      <w:r>
        <w:t>Dans ce contexte, il doit être rappelé que le degré de l'attention qu'un conducteur doit vouer au trafic et qui est requis par l'art. 3 al. 1 de l'ordonnance du 13 novembre 1962 sur les règles de la circulation routière (OCR; RS 741.11) s'apprécie au regard des circonstances d'espèce, telles que la densité du trafic, la configuration des lieux, l'heure, la visibilité et les sources de danger prévisibles (cf. ATF 137 IV 290 consid. 3.6 et les références citées; arrêt TF 6B_69/2017 du 28 novembre 2017 consid. 2.2.1). La perte de maîtrise d'un véhicule ne constitue pas toujours une infraction grave au sens de l'art. 16c al. 1 let. a LCR; la qualification de la gravité de l'infraction dépend des circonstances du cas d'espèce (ATF 127 II 302). C'est donc bien selon les circonstances - en particulier selon le degré de mise en danger de la sécurité d'autrui et selon la faute de l'intéressé - qu'il y a lieu de qualifier la gravité de l'infraction. Il n'est dès lors aucunement exclu qu'une perte de maîtrise ne cause qu'une mise en danger moyennement grave au sens de l'art. 16b al. 1 let. a LCR, voire légère au sens de l'art. 16a al. 1 let. a LCR (cf. MIZEL, Les nouvelles dispositions légales sur le retrait du permis de conduire, in RDAF 2004 I 361, p. 367; ATF 127 II 302; arrêt TF 1C_235/2007 du 29 novembre 2007). Cela étant, une conduite qui laisse apparaître un risque élevé de perte de maîtrise, de même que la perte de la maîtrise d'un véhicule, autrement qu'à très faible vitesse, créent une mise en danger abstraite accrue grave, si ce n'est une mise en danger concrète (arrêt TF 6S.186/2002 du 25 juillet 2002 consid. 2.2). Dans ce contexte, il a été jugé qu'une perte de maîtrise due à une conduite inadaptée sur l'autoroute, où la circulation est toujours très rapide, malgré l'attention particulière que requiert le risque d'aquaplaning, constituait une grave mise en danger de la sécurité routière et supposait une faute grave (ATF 120 Ib 312 consid. 4c; arrêt TF 1C_249/2012 du 27 mars 2013 consid. 2.2.5; cf. ég. arrêt TC FR 603 2015 48 du 18 juillet 2016 consid. 4d).</w:t>
      </w:r>
    </w:p>
    <w:p>
      <w:r>
        <w:rPr>
          <w:b/>
        </w:rPr>
        <w:t>E. 3.2.2</w:t>
      </w:r>
    </w:p>
    <w:p>
      <w:r>
        <w:t>En l'espèce, le recourant a été inattentif, de sorte qu'il a perdu la maîtrise de sa voiture alors qu'il quittait l'autoroute, glissé sur environ 30 mètres sur la neige et causé un accident, heurtant un panneau de signalisation et un piquet à neige avant de s'immobiliser. Un tel comportement implique un risque évident pour la sécurité du trafic. Ce risque était d'autant plus grand que le recourant avait emprunté une sortie d'autoroute à une heure où, un 18 décembre, l'obscurité devait être importante et que les conditions prévalant au bord de la route étaient hivernales. Partant, une attention particulière aurait dû prévaloir tant le risque de dérapage, de perte de maîtrise et d'accident est grand et connu de tous en pareilles circonstances. Le recourant a ainsi manifestement enfreint cette règle élémentaire de prudence. Partant, la faute que l'intéressé a commise ne peut pas, comme</w:t>
      </w:r>
    </w:p>
    <w:p>
      <w:r>
        <w:t>Tribunal cantonal TC Page 6 de 7 telle, être qualifiée de légère, au sens de bénigne du terme. De plus, son comportement a été à l'origine d'une mise en danger concrète de la circulation avec accident et dégâts matériels. Le fait qu'il n'y ait pas eu de blessés ou d'autres véhicules impliqués dans l'accident relève du pur cas fortuit, qui ne saurait profiter au recourant.</w:t>
      </w:r>
    </w:p>
    <w:p>
      <w:r>
        <w:rPr>
          <w:b/>
        </w:rPr>
        <w:t>E. 3.2.3</w:t>
      </w:r>
    </w:p>
    <w:p>
      <w:r>
        <w:t>Dès lors que ni la faute ni la mise en danger qui en ont découlé ne sont légères, c'est à bon droit que la CMA a qualifié de moyennement grave l'infraction reprochée au recourant. Cette qualification n'entre d'ailleurs pas en contradiction avec la sanction pénale infligée en application de l'art. 90 al. 1 LCR qui s'applique aussi bien à l'infraction légère qu'à l'infraction moyennement grave. Au demeurant, selon la jurisprudence, le fait que, sur le plan pénal, l'intéressé est reconnu coupable de violation simple des règles de la circulation routière et que le montant de l'amende infligée est faible ne permettent pas, à eux seuls, de déduire que le cas doit être considéré comme de peu de gravité (cf. arrêts TF 6A.90/2002 du 7 février 2003 consid. 3.2 et 6A.65/2003 du 27 novembre 2003 consid. 3.2; arrêts TC FR 603 2011 20 du 28 février 2013; 603 2019 189 du 20 mars 2020). Dans ces conditions, en estimant que la faute commise devait être qualifiée de moyennement grave au sens de l'art. 16b al. 1 let. a LCR, l'autorité intimée n'a manifestement pas violé la loi ni commis un excès ou un abus de son pouvoir d'appréciation.</w:t>
      </w:r>
    </w:p>
    <w:p>
      <w:r>
        <w:rPr>
          <w:b/>
        </w:rPr>
        <w:t>E. 4.1</w:t>
      </w:r>
    </w:p>
    <w:p>
      <w:r>
        <w:t>Selon l'art. 16b al. 2 let. a LCR, après une infraction moyennement grave, le permis de conduire est retiré pour un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w:t>
      </w:r>
    </w:p>
    <w:p>
      <w:r>
        <w:rPr>
          <w:b/>
        </w:rPr>
        <w:t>E. 4.2</w:t>
      </w:r>
    </w:p>
    <w:p>
      <w:r>
        <w:t>En l'espèce, l'autorité intimée a retiré le permis du recourant pour la durée d'un mois. Ce faisant, la CMA s'en est dès lors tenue à la durée minimale du retrait, laquelle ne peut être réduite, pour quelque raison que ce soit (cf. art. 16 al. 3 2ème phr. LCR; ATF 132 II 234 consid. 2.3). Autrement dit, les besoins professionnels et personnels de disposer du permis, tels que le recourant les a exposés dans sa détermination à la CMA, ne peuvent conduire à une réduction de la durée du retrait, limitée au minimum légal.</w:t>
      </w:r>
    </w:p>
    <w:p>
      <w:r>
        <w:rPr>
          <w:b/>
        </w:rPr>
        <w:t>E. 5</w:t>
      </w:r>
    </w:p>
    <w:p>
      <w:r>
        <w:t>Sur le vu de tout ce qui précède, la CMA n'a donc pas abusé ou excédé son pouvoir d'appréciation en rendant la décision attaquée. Partant, le recours doit être rejeté et la décision attaquée confirmée.</w:t>
      </w:r>
    </w:p>
    <w:p>
      <w:r>
        <w:t>Tribunal cantonal TC Page 7 de 7 Vu l'issue du recours, les frais de procédure doivent être mis à la charge du recourant qui succombe, conformément à l'art. 131 CPJA et aux art. 1 et 2 du tarif cantonal du 17 décembre 1991 sur les frais de procédure et des indemnités en matière de juridiction administrative (RSF 150.12). la Cour arrête : I. Le recours est rejeté. II. Les frais de justice, fixés à CHF 800.-, sont mis à la charge du recourant et compensés par l'avance de frais du même montant.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juillet 2022/ape/lmi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