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45 vom 10. Mai 2022</w:t>
      </w:r>
    </w:p>
    <w:p>
      <w:r>
        <w:t>FR Kantonsgericht, 2022-05-10, FR</w:t>
      </w:r>
    </w:p>
    <w:p>
      <w:r>
        <w:rPr>
          <w:b/>
        </w:rPr>
        <w:t xml:space="preserve">Quelle: </w:t>
      </w:r>
      <w:r>
        <w:t>https://mcp.opencaselaw.ch/entscheid/fr_gerichte_603_2022_45</w:t>
      </w:r>
    </w:p>
    <w:p>
      <w:r>
        <w:t>FR: FR_GERICHTE 603 2022 45 du 10 mai 2022</w:t>
      </w:r>
    </w:p>
    <w:p>
      <w:r>
        <w:t>IT: FR_GERICHTE 603 2022 45 del 10 maggio 2022</w:t>
      </w:r>
    </w:p>
    <w:p>
      <w:pPr>
        <w:pStyle w:val="Heading2"/>
      </w:pPr>
      <w:r>
        <w:t>Regeste</w:t>
      </w:r>
    </w:p>
    <w:p>
      <w:r>
        <w:t>Arrêt de la IIIe Cour des assurances sociales du Tribunal cantonal | Strassenverkehr und Transportwesen</w:t>
      </w:r>
    </w:p>
    <w:p>
      <w:pPr>
        <w:pStyle w:val="Heading2"/>
      </w:pPr>
      <w:r>
        <w:t>Erwägungen</w:t>
      </w:r>
    </w:p>
    <w:p>
      <w:r>
        <w:rPr>
          <w:b/>
        </w:rPr>
        <w:t>E. 24</w:t>
      </w:r>
    </w:p>
    <w:p>
      <w:r>
        <w:t>septembre 2021 à 11h47, A.________ circulait au volant de son véhicule, à B.________, à la vitesse de 86 km/h, marge de sécurité déduite, sur une route située en localité où elle est limitée à 60 km/h, d'où un dépassement net de la vitesse maximale autorisée de 26 km/h. B. Par décision du 17 février 2022, la Commission des mesures administratives en matière de circulation routière (ci-après: CMA) a prononcé l'interdiction de conduire de l'intéressé – détenteur d'un permis de conduire étranger – pour la durée de trois mois. Elle a retenu que l'excès de vitesse commis le 24 septembre 2021 constituait une infraction grave au sens de l'art. 16c al. 1 let. a de la loi du 19 décembre 1958 sur la circulation routière (LCR; RS 741.01) et a fixé la sanction au minimum légal. C. Agissant le 8 mars 2022, l'intéressé recourt auprès du Tribunal cantonal contre la décision de la CMA, en concluant à la réduction de la durée de l'interdiction de conduire. Il ne remet pas en cause l'infraction qui lui est reprochée. Il souligne cependant qu'il travaille en Suisse depuis plusieurs années et qu'il s'agit de sa première infraction commise en localité. Il fait valoir qu'il risque de perdre son emploi en tant que temporaire si l'interdiction de conduire devait être prononcée pour une période aussi longue. D. Par ordonnance pénale du 28 mars 2022, le Ministère public du canton de Fribourg a reconnu l'intéressé coupable de violation grave des règles de la circulation routière au sens de l'art. 90 al. 2 LCR. Cette ordonnance n'a pas été contestée. E. Dans ses observations du 25 avril 2022, la CMA conclut au rejet du recours, en se référant à sa décision du 17 février 2022 ainsi qu'aux autres pièces au dossier. F. Aucun autre échange d'écritures n'a eu lieu entre les parties. Il sera fait état des arguments, développés par ces dernières à l'appui de leurs conclusions dans les considérants de droit du présent arrêt, pour autant que cela soit utile à la solution du litige.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w:t>
      </w:r>
    </w:p>
    <w:p>
      <w:r>
        <w:t>Tribunal cantonal TC Page 3 de 6 expresse, le Tribunal cantonal ne peut pas examiner en l'espèce le grief d'inopportunité (art. 78 al. 2 CPJA). 2. 2.1. Force est d'emblée de constater que le recourant ne conteste pas avoir circulé à la vitesse de 86 km/h, marge de sécurité déduite, à l'intérieur d'une localité, à un endroit limité à 60 km/h, correspondant à un dépassement net de la vitesse maximale autorisée de 26 km/h. Au demeurant, ce fait a également été retenu dans le cadre de l'ordonnance pénale, qui est entrée en force. 2.2. D'après l'art. 27 al. 1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notamment, à son al. 1, que la vitesse maximale générale peut atteindre, lorsque les conditions de la route, de la circulation et de la visibilité sont favorables, 50 km/h dans les localités (let. a) et 80 km/h hors des localités, à l'exception des semi-autoroutes et des autoroutes (let. b). En outre, son al. 5 énonce que lorsque des signaux indiquent d'autres vitesses maximales, celles-ci sont applicables en lieu et place des limitations générales de vitesse. En l'espèce, au vu des faits établis, il faut constater que le recourant a violé les dispositions légales précitées. Partant, la CMA se devait de prononcer une mesure administrative à son égard. 3. 3.1.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w:t>
      </w:r>
    </w:p>
    <w:p>
      <w:r>
        <w:t>Tribunal cantonal TC Page 4 de 6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arrêt TF 6A.16/2006 du 6 avril 2006 consid. 2.1.1; JdT 2006 I 442). Quant à l'infraction sanctionnée par l'art. 16c al. 1 let. a LCR, elle correspond en principe à la définition de l'infraction réprimée sur le plan pénal par l'art. 90 al. 2 LCR (MIZEL,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 3.2.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(arrêt TF 1C_83/2008 du 16 octobre 2008 consid. 5.2). Pour déterminer la gravité d'un dépassement de vitesse, le Tribunal fédéral a instauré des règles précises afin d'assurer l'égalité de traitement entre conducteurs. Ainsi, selon une jurisprudence constante, il retient qu'à l'intérieur d'une localité, l'infraction est légère en cas de dépassement de vitesse de 16 à 20 km/h, moyennement grave en cas de dépassement de 21 à 24 km/h et grave en cas de dépassement de 25 km/h ou plus (cf. notamment ATF 132 II 234 consid. 3.2; 128 II 131 consid. 2a; 126 II 196 consid. 2a; 124 II 475 consid. 2a). Ces limites n'ont pas été fixées à la légère, mais reposent sur les considérations d'un collège d'experts mandatés par la Cour de cassation pénale du Tribunal fédéral. Ces derniers ont ainsi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Pour autant qu'ils se comportent correctement, ces autres usagers de la route ne doivent pas compter sur le fait que des véhicules circulent à une vitesse supérieure à celle autorisée et peuvent invoquer le principe de la confiance. Enfin, une collision entre un véhicule automobile et un piéton ou un cycliste, même en cas de dépassement anodin de la vitesse autorisée, peut avoir des conséquences tragiques, qui ont été mises en évidence dans le rapport du Professeur Felix Walz, de l'Institut de</w:t>
      </w:r>
    </w:p>
    <w:p>
      <w:r>
        <w:t>Tribunal cantonal TC Page 5 de 6 Médecine légale de l'Université de Zurich, du 17 novembre 1994 adressé à la Cour de cassation pénale du Tribunal fédéral (ATF 123 II 37 consid. 1d; 121 II 127 consid. 4b). Ces considérations demeurent pleinement valables (arrêt TF 1C_83/2008 du 16 octobre 2008 consid. 5.2). En effet, si les dépassements de la vitesse maximale autorisée ont connu une tendance à la baisse, la vitesse constitue néanmoins toujours l'une des principales causes d'accidents graves de la route et même la cause principale des accidents mortels; elle est également une cause importante de retraits de permis de conduire (cf. rapport SINUS 2021, Niveau de sécurité et accidents dans la circulation routière en 2020, du Bureau de prévention des accidents). La jurisprudence relative aux barèmes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 3.3. En l'occurrence, le recourant a dépassé de 26 km/h la vitesse maximale de 60 km/h annoncée par un panneau de signalisation à l'intérieur de la localité, ce qui constitue objectivement une infraction grave au sens de l'art. 16c al. 1 let. a LCR et de la jurisprudence précitée. Même si l'excès de vitesse commis se situe juste au-dessus de la limite inférieure du seuil de l'infraction grave, tel que déterminé par la jurisprudence, aucune circonstance particulière ne justifie en l'espèce une appréciation plus nuancée de la gravité de la faute. En particulier, le fait que la météo était clémente, le temps sec et la visibilité bonne n'y changent rien. En effet, rappelons que la vitesse de 60 km/h constitue le maximum qui ne peut être atteint qu'en présence de telles conditions favorables. Les circonstances de l'espèce n'ont dès lors rien d'exceptionnel. Partant, l'appréciation de la CMA, selon laquelle le recourant s'est rendu coupable d'une infraction grave au sens de l'art. 16c al. 1 let. a LCR, et qui correspond du reste à celle retenue par le Juge pénal, ne saurait être remise en cause. 4. 4.1. L'art. 45 al. 1, 1ère phrase, de l'ordonnance du 27 octobre 1976 réglant l'admission des personnes et des véhicules à la circulation routière (OAC; RS 741.51) – reposant notamment sur l'art. 42 al. 1 de la convention de Vienne sur la circulation routière (RS 0.741.10) – prévoit que l'usage d'un permis étranger peut être interdit en vertu des dispositions qui s'appliquent au retrait du permis de conduire suisse. A teneur de l'art. 16c al. 2 let. a LCR, après une infraction grave, le permis d'élève conducteur ou le permis de conduire est retiré pour trois mois au minimum.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désormais incompressibles les durées minimales de retrait des permis de conduire, a été introduite dans la loi par souci d'uniformité. Le</w:t>
      </w:r>
    </w:p>
    <w:p>
      <w:r>
        <w:t>Tribunal cantonal TC Page 6 de 6 législateur a ainsi entendu exclure expressément la possibilité, ouverte par la jurisprudence sous l'ancien droit, de réduire la durée minimale du retrait en présence de circonstances particulières, notamment en faveur de conducteurs professionnels (ATF 132 II 234 consid. 2.3). 4.2. En fixant à trois mois la durée de l'interdiction de conduire à l'encontre du recourant, l'autorité intimée s'en est tenue au minimum légal prévu par l'art. 16c al. 2 let. a LCR en cas de faute grave. Vu le prescrit de l'art. 16 al. 3, dernière phrase, LCR, cette durée ne peut être réduite, pour quelque motif que ce soit, pas même au regard d'un éventuel besoin professionnel dont pourrait se prévaloir le recourant (cf. ATF 132 II 234 consid. 2.3). 5. 5.1. Pour l'ensemble des motifs qui précèdent, il faut constater que la décision de la CMA est conforme aux principes de la légalité et de la proportionnalité. Elle doit dès lors être confirmée et le recours rejeté. 5.2. Vu l'issue du recours, les frais de procédure doivent être mis à la charge du recourant qui succombe, conformément à l'art. 131 CPJA et aux art. 1 et 2 du tarif fribourgeois du 17 décembre 1991 des frais de procédure et des indemnités en matière de juridiction administrative (RSF 150.12). la Cour arrête : I. Le recours est rejeté. Partant, la décision du 17 février 2022 de la Commission des mesures administratives en matière de circulation routière est confirmée.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mai 2022/jfr/vth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