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40 vom 30. März 2022</w:t>
      </w:r>
    </w:p>
    <w:p>
      <w:r>
        <w:t>FR Kantonsgericht, 2022-03-30, FR</w:t>
      </w:r>
    </w:p>
    <w:p>
      <w:r>
        <w:rPr>
          <w:b/>
        </w:rPr>
        <w:t xml:space="preserve">Quelle: </w:t>
      </w:r>
      <w:r>
        <w:t>https://mcp.opencaselaw.ch/entscheid/fr_gerichte_603_2022_40</w:t>
      </w:r>
    </w:p>
    <w:p>
      <w:r>
        <w:t>FR: FR_GERICHTE 603 2022 40 du 30 mars 2022</w:t>
      </w:r>
    </w:p>
    <w:p>
      <w:r>
        <w:t>IT: FR_GERICHTE 603 2022 40 del 30 marzo 2022</w:t>
      </w:r>
    </w:p>
    <w:p>
      <w:pPr>
        <w:pStyle w:val="Heading2"/>
      </w:pPr>
      <w:r>
        <w:t>Regeste</w:t>
      </w:r>
    </w:p>
    <w:p>
      <w:r>
        <w:t>Arrêt de la IIIe Cour administrative du Tribunal cantonal | Beschwerde gegen vorsorgliche Massnahmen</w:t>
      </w:r>
    </w:p>
    <w:p>
      <w:pPr>
        <w:pStyle w:val="Heading2"/>
      </w:pPr>
      <w:r>
        <w:t>Erwägungen</w:t>
      </w:r>
    </w:p>
    <w:p>
      <w:r>
        <w:rPr>
          <w:b/>
        </w:rPr>
        <w:t>E. 12</w:t>
      </w:r>
    </w:p>
    <w:p>
      <w:r>
        <w:t>novembre 1981 d'application de la législation fédérale sur la circulation routière (LALCR; RSF 781.1). L'avance de frais a en outre été versée en temps utile. Partant, le Tribunal cantonal peut entrer en matière sur les mérites du recours; que, selon l'art. 14 al. 2 let. c LCR, le permis d'élève conducteur et le permis de conduire ne peuvent être délivrés aux candidats qui souffrent d'une forme de dépendance les rendant inaptes à la conduite; que les permis et les autorisations sont retirés lorsque l'autorité constate que les conditions légales de leur délivrance ne sont pas ou ne sont plus remplies (art. 16 al. 1, 1ère phrase, LCR). L'art. 16d al. 1 let. b LCR précise que ces permis sont retirés pour une durée indéterminée à la personne qui souffre d'une forme de dépendance la rendant inapte à la conduite; que le Message accompagnant le projet de l'art. 14 LCR (FF 1999 IV 4106, 4128) précise que, selon l'art. 14 al. 2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qu'ainsi,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w:t>
      </w:r>
    </w:p>
    <w:p>
      <w:r>
        <w:t>Tribunal cantonal TC Page 4 de 8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(cf. PERRIN, Délivrance et retrait du permis de conduire, 1982, p. 127); qu'à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que,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 que,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que l'art. 11b al. 1 let. b et c OAC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126 II 185 consid. 2a, 361 consid. 3a; 125 II 396 consid. 2a/bb et c; 120 Ib 305 consid. 4b; 104 Ib 46 consid. 3a); qu'une expertise médico-légale s’impose, dans tous les cas, lorsque les circonstances concrètes font naître un doute suffisant quant à une éventuelle dépendance à la cocaïne (cf. CARRON, Les</w:t>
      </w:r>
    </w:p>
    <w:p>
      <w:r>
        <w:t>Tribunal cantonal TC Page 5 de 8 nouveautés en droit de la circulation routière / I.-II., in Journées du droit de la circulation routière 7-8 juin 2010, 2010, p. 161 s.; arrêt TF 1C_282/2007 du 13 février 2008 / JdT 2008 I 464); que ce qui vient d'être dit n'exclut cependant pas que le permis de conduire puisse être retiré immédiatement, à titre de mesure préventive, avant que des examens plus poussés n'aient été exécutés; qu'ainsi, l'art. 30 OAC prévoit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De plus, en cas de consommation de cocaïne, d'héroïne ou d'autres drogues dures, le potentiel de dépendance est très élevé. Le mode de consommation (par injection, en fumant le produit déposé sur une feuille d'aluminium, sous forme de prises, etc.) ne joue en l'espèce aucun rôle. Par conséquent, si la police ou un médecin avise l'autorité que l'on a constaté, ne serait-ce qu'une seule fois, qu'une personne a consommé de ces substances, il y a lieu d'élucider si elle est apte à conduire, même s'il n'existe aucun rapport avec la circulation routière. Selon les expériences faites à ce jour, 10% au plus des conducteurs examinés sont aptes à conduire malgré leur consommation d'héroïne et de cocaïne (cf. Manuel du groupe d'experts "Sécurité routière", dans sa version du 26 avril 2000, p. 4 s.);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qu'en l'occurrence, il ressort du rapport de police du 9 novembre 2021 que, lors de son audition du même jour, le recourant a reconnu avoir consommé environ 15 g de cocaïne depuis l'été 2020; que cette consommation avouée justifiait à elle seule que l'aptitude à conduire soit évaluée par le biais d'une expertise (cf. Guide aptitude la conduite du 27 novembre 2020, élaboré par le Groupe d'experts Sécurité routière, en accord avec l'Office fédéral des routes (http://www.astra2.admin.ch/media/pdfpub/2020-11-27_236_f.pdf, ch. 4. A. 2. let. h, consulté le 29 mars 2022); que néanmoins, afin de procéder à une évaluation de la consommation actuelle du recourant et d'examiner sa capacité à s'abstenir de consommer des produits stupéfiants, la CMA – se référant à la recommandation applicable en cas de prise unique de cocaïne dans les six mois précédents (cf.</w:t>
      </w:r>
    </w:p>
    <w:p>
      <w:r>
        <w:t>Tribunal cantonal TC Page 6 de 8 Guide, ch. 4. A. 2. let. g) - a requis qu'il se soumette à des tests toxicologiques, sur la base de trois prélèvements d'urine sur trente jours; que, durant cette période de contrôle, le recourant a pu disposer de son permis de conduire; qu'il ressort du rapport du 1er février 2022 établi par le Laboratoire médical Promed que le premier résultat du 12 janvier 2022 s'est révélé positif quant à la présence de cocaïne; que le recourant a du reste admis avoir consommé de la cocaïne le 8 janvier 2022, lors d'une fête; que, dans de telles conditions, et compte tenu de la jurisprudence et de la doctrine citées ci-avant, la CMA était parfaitement légitimée à émettre de sérieux doutes quant à l'aptitude du recourant à conduire un véhicule automobile en raison d'un risque de dépendance; qu'en effet, les tests toxicologiques exigés avaient précisément pour but de déterminer la situation du recourant vis-à-vis des produits stupéfiants et celui-ci avait été expressément rendu attentif au fait qu'un résultat positif à un test annoncé - quelle que soit la concentration constatée - entrainerait le retrait immédiat à titre préventif de son permis de conduire; qu'or, force est de constater que, durant cette courte période de contrôle, le recourant n'a pas été en mesure de s'abstenir de toute consommation de stupéfiants, alors qu'il connaissait parfaitement les conséquences liées à un résultat positif; que pareil comportement permet d'émettre des doutes sérieux sur son aptitude à s'abstenir de consommer des stupéfiants et, partant, sur une éventuelle dépendance; qu'il importe peu que la présence de cocaïne a été révélée dans les urines et non dans le sang, l'intéressé ayant du reste reconnu en avoir consommé le 9 janvier 2022; qu'au demeurant, les taux énoncés à l'art. 2 al. 2 let. a et c de l'ordonnance du 13 novembre 1962 sur les règles de la circulation routière [OCR; RS 741.11] en lien avec l’art. 34 de l'ordonnance de l’OFROU du 22 mai 2008 concernant l’ordonnance sur le contrôle de la circulation routière [OOCCR- OFROU; RS 741.013.1]) – auxquels se réfère le recourant – sont applicables en cas de conduite sous l'influence de stupéfiants et déterminent la capacité à conduire; qu'en revanche, lorsque l'aptitude à conduire soulève des doutes,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que ces indices sont concrets et sérieux en l'espèce; que les seules affirmations du recourant selon lesquelles il n'a plus consommé de drogue depuis lors ne permettent à l'évidence pas de lever les doutes justifiés de l'autorité intimée; que, pour les motifs qui précèdent, l'autorité de céans constate que la CMA n'a pas violé le droit, ni commis un excès ou un abus de son pouvoir d'appréciation en retenant que la dépendance du recourant à la drogue ne pouvait pas être exclue et que, par conséquent, il se justifiait de protéger prioritairement les usagers de la route par un retrait préventif. Il incombe désormais à l'intéressé de prouver qu'il n'est pas dépendant des drogues, en se soumettant à l'expertise médicale exigée par</w:t>
      </w:r>
    </w:p>
    <w:p>
      <w:r>
        <w:t>Tribunal cantonal TC Page 7 de 8 la CMA. Ce n'est que lorsque les résultats de celle-ci auront été produits que l'autorité pourra prendre une décision finale; qu'en tout état de cause, il ne saurait être question d'autoriser le recourant à continuer de conduire jusqu'à cette échéance, dès lors qu'il n'a pas été en mesure de s'abstenir de consommer de la cocaïne durant la période de contrôle; qu'il convient en effet de rappeler que le retrait préventif du permis de conduire n'est pas une mesure admonitoire ayant pour but de punir un comportement fautif, mais qu'il vise à empêcher qu'un automobiliste présumé incapable de conduire se mette au volant d'un véhicule dans un état, durable ou momentané, le rendant dangereux pour la circulation. Tant que cette présomption n'est pas levée, l'intéressé doit être considéré préventivement comme inapte à conduire et écarté de la circulation (cf. notamment arrêts TC FR 603 2020 193 du 27 janvier 2021; 2018 176 du 11 janvier 2019 et la référence citée); que, pour le reste, le grief de violation du droit d'être entendu doit être écarté, le recourant ayant pu faire valoir tous ses droits dans le cadre de la présente procédure et en particulier se déterminer sur les résultats des tests biologiques; que, partant, le recours doit être rejeté; que, vu l'issue du recours, les requêtes superprovisionnelles (601 2022 41) et provisionnelles (603 2022 42), tendant à la restitution de l'effet suspensif au recours, sont rejetées; que les frais de procédure doivent être mis à la charge du recourant qui succombe, conformément à l'art. 131 CPJA et aux art. 1 et 2 du tarif fribourgeois du 17 décembre 1991 des frais de procédure et des indemnités en matière de juridiction administrative (RSF 150.12); qu'il n'est pas alloué d'indemnité de partie; (dispositif sur la page suivante)</w:t>
      </w:r>
    </w:p>
    <w:p>
      <w:r>
        <w:t>Tribunal cantonal TC Page 8 de 8 la Cour arrête : I. Le recours (603 2022 40) est rejeté. Partant, la décision de la CMA du 17 février 2022 est confirmée. II. Les requêtes superprovisionnelles (603 2022 41) et provisionnelles (603 2022 42), devenues sans objet, sont classées. III. Les frais de procédure, par CHF 800.-, sont mis à la charge du recourant. Ils sont compensés par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mars 2022/mju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