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156 vom 2. Februar 2023</w:t>
      </w:r>
    </w:p>
    <w:p>
      <w:r>
        <w:t>FR Kantonsgericht, 2023-02-02, FR</w:t>
      </w:r>
    </w:p>
    <w:p>
      <w:r>
        <w:rPr>
          <w:b/>
        </w:rPr>
        <w:t xml:space="preserve">Quelle: </w:t>
      </w:r>
      <w:r>
        <w:t>https://mcp.opencaselaw.ch/entscheid/fr_gerichte_603_2022_156</w:t>
      </w:r>
    </w:p>
    <w:p>
      <w:r>
        <w:t>FR: FR_GERICHTE 603 2022 156 du 2 février 2023</w:t>
      </w:r>
    </w:p>
    <w:p>
      <w:r>
        <w:t>IT: FR_GERICHTE 603 2022 156 del 2 febbraio 2023</w:t>
      </w:r>
    </w:p>
    <w:p>
      <w:pPr>
        <w:pStyle w:val="Heading2"/>
      </w:pPr>
      <w:r>
        <w:t>Regeste</w:t>
      </w:r>
    </w:p>
    <w:p>
      <w:r>
        <w:t>Arrêt de la IIIe Cour administrative du Tribunal cantonal | Strassenverkehr und Transportwesen</w:t>
      </w:r>
    </w:p>
    <w:p>
      <w:pPr>
        <w:pStyle w:val="Heading2"/>
      </w:pPr>
      <w:r>
        <w:t>Erwägungen</w:t>
      </w:r>
    </w:p>
    <w:p>
      <w:r>
        <w:rPr>
          <w:b/>
        </w:rPr>
        <w:t>E. 1.1</w:t>
      </w:r>
    </w:p>
    <w:p>
      <w:r>
        <w:t>Déposé dans le délai et les formes prescrits, le présent recours est recevable en vertu des art. 12 de la loi fribourgeoise du 12 novembre 1981 d'application de la législation fédérale sur la circulation routière (LALCR; RSF 781.1) et art. 79 à 81 du code fribourgeois du 23 mai 1991 de procédure et de juridiction administrative (CPJA; RSF 150.1). Le Tribunal cantonal peut donc entrer en matière sur ses mérites.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 38).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102 Ib 196).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consid. 3a).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Toutefois, l'autorité administrative n'est pas liée par la qualification juridique et peut s'écarter du jugement pénal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w:t>
      </w:r>
    </w:p>
    <w:p>
      <w:r>
        <w:t>Tribunal cantonal TC Page 4 de 9</w:t>
      </w:r>
    </w:p>
    <w:p>
      <w:r>
        <w:rPr>
          <w:b/>
        </w:rPr>
        <w:t>E. 2.2</w:t>
      </w:r>
    </w:p>
    <w:p>
      <w:r>
        <w:t>En l'espèce, s'agissant de l'infraction du 10 mars 2022, l'autorité pénale a retenu que la recourante avait percuté une enfant sur un passage pour piétons. Cette ordonnance est entrée en force. Partant, elle liait l'autorité intimée – qui avait d'ailleurs suspendu la procédure jusqu'à droit connu sur le plan pénal –, en particulier pour déterminer les faits sur lesquels se fonder. La recourante a été rendue explicitement attentive à son obligation de défendre tous ses droits et d'invoquer tous ses arguments sur le plan pénal. Aussi, si elle entendait contester les faits précités, elle aurait dû faire valoir ses arguments dans le cadre de la procédure pénale. Les arguments invoqués dans le cadre de son recours ne sont pas de nature à remettre en cause l'état de fait retenu. Aucun motif ne permet à la Cour de céans de se distancier des faits tels qu'établis par le Juge pénal. Il faut dès lors considérer comme établi que la recourante n'a pas fait preuve de l'attention nécessaire à l'approche d'un passage pour piétons et qu'elle a percuté une enfant déjà engagée sur le passage sécurisé.</w:t>
      </w:r>
    </w:p>
    <w:p>
      <w:r>
        <w:rPr>
          <w:b/>
        </w:rPr>
        <w:t>E. 3.1</w:t>
      </w:r>
    </w:p>
    <w:p>
      <w:r>
        <w:t>Selon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 teneur de l'art. 33 al. 2 LCR, avant les passages pour piétons, le conducteur circulera avec une prudence particulière et, au besoin, s'arrêtera pour laisser la priorité aux piétons qui se trouvent déjà sur le passage ou s'y engagent.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127 IV 34 consid. 3c/bb; 122 IV 225 consid. 2b). 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(arrêt TF 1C_425/2012 du 17 décembre 2012 consid. 3.2 et les références citées). Normalement, le conducteur n'est toutefois pas obligé de réduire sa vitesse à l'approche d'un passage pour piétons lorsque personne ne se trouve à proximité, s'il peut admettre qu'aucun piéton ne va surgir à l'improviste ou encore si on lui fait clairement comprendre qu'il a la priorité. La visibilité du conducteur doit néanmoins porter sur toute la chaussée et sur le trottoir à proximité du passage. Si le conducteur ne bénéficie pas d'une telle visibilité, il doit ralentir de manière à pouvoir accorder la priorité aux piétons dissimulés derrière l'obstacle (arrêts TF 1C_504/2011 du 17 avril 2012 consid. 2.4; 6B_493/2011 du 12 décembre 2011 consid. 4.2.2; 6B_1070/2009 du 22 mars 2010 consid. 3.2; 6S.96/2006 du 3 avril 2006 consid. 2.2, JdT 2006 I 439).</w:t>
      </w:r>
    </w:p>
    <w:p>
      <w:r>
        <w:rPr>
          <w:b/>
        </w:rPr>
        <w:t>E. 3.2</w:t>
      </w:r>
    </w:p>
    <w:p>
      <w:r>
        <w:t>Au vu des faits établis, la recourante a enfreint ces dispositions, de sorte qu'une mesure administrative devait être prononcée à son endroit.</w:t>
      </w:r>
    </w:p>
    <w:p>
      <w:r>
        <w:t>Tribunal cantonal TC Page 5 de 9</w:t>
      </w:r>
    </w:p>
    <w:p>
      <w:r>
        <w:rPr>
          <w:b/>
        </w:rPr>
        <w:t>E. 4.1</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alors que seule une faute bénigne peut lui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ceux-ci ne jouant un rôle que lorsqu'il s'agit de mesurer la durée du retrait (cf. arrêt TC FR 603 2016 227 du 8 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1C_250/2017 du 7 septembre 2017 consid. 2.2 et les références citées). La faute légère correspond à une négligence légère, un tel cas de figure étant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w:t>
      </w:r>
    </w:p>
    <w:p>
      <w:r>
        <w:t>Tribunal cantonal TC Page 6 de 9 non pas suffisamment du fait d'une mauvaise appréciation compréhensible du point de vue d'un conducteur moyen. En dernière analyse, la faute légère représente souvent un comportement qui, sans être totalement excusable, bénéficie de circonstances atténuantes, voire relève carrément d'une certaine malchance (MIZEL, Les nouvelles dispositions légales sur le retrait du permis de conduire, in RDAF 2004, p. 376). L'infraction sanctionnée par l'art. 16c al. 1 let. a LCR par contre correspond en principe à la définition de l'infraction réprimée sur le plan pénal par l'art. 90 al. 2 LCR (MIZEL, p. 395). Le Tribunal fédéral tient ces notions pour identiques à tous les égards (ATF 120 Ib 285 consid. 3 / JdT 1995 I 678);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et les références citées). Subjectivement, l'art. 90 al. 2 LCR exige un comportement sans scrupules ou gravement contraire aux règles de la circulation, découlant à tout le moins d'une négligence grossière (ATF 118 IV 84 consid. 2a).</w:t>
      </w:r>
    </w:p>
    <w:p>
      <w:r>
        <w:rPr>
          <w:b/>
        </w:rPr>
        <w:t>E. 4.2</w:t>
      </w:r>
    </w:p>
    <w:p>
      <w:r>
        <w:t>D'après la jurisprudence, la faute d'un conducteur qui a heurté une personne engagée sur un passage pour piétons en ne s'arrêtant pas à temps ne peut pas être qualifiée de légère (cf. arrêts TF 4A_239/2015 du 6 octobre 2015 consid. 2.3; 1C_425/2012 du 17 décembre 2012 consid. 4.1; 1C_87/2009 du 11 août 2009 consid. 4.3). La jurisprudence a qualifié de grave la faute commise par un conducteur qui, circulant à 30 km/h dans une zone à important trafic piétonnier et après avoir contourné un îlot de tram, avait renversé mortellement une piétonne à quelques mètres d'un passage pour piétons, la faute commise par un motocycliste qui, de nuit et sur une chaussée mouillée, n'avait remarqué que tardivement un piéton sur un passage sécurisé et l'avait percuté avec sa moto, la faute commise par un conducteur qui, ébloui plusieurs fois par le soleil, a continué de circuler à 55 km/h à l'intérieur d'une localité, en particulier sur un passage pour piétons et ce sans visibilité, ou encore la double infraction commise par un automobiliste qui, n'ayant pas adapté sa vitesse aux circonstances, avait violé la priorité à un piéton et l'avait heurté (cf. arrêts TF 1C_87/2009 précité consid. 4.3; 1C_425/2012 du 17 décembre 2012 consid. 4.1 et les arrêts cités). Ont en revanche été qualifiées de moyennement grave la faute commise par un conducteur qui avait démarré au passage au vert du signal lumineux, sans prendre garde au feu orange clignotant et avait renversé un piéton qui traversait normalement sur un passage sécurisé, la faute commise par une conductrice qui n'avait pas accordé la priorité à un piéton déjà engagé sur le passage protégé – mais sans le heurter – au motif qu'une camionnette lui masquait la vue, la faute commise par un automobiliste qui, ébloui par les phares d'un véhicule venant en sens inverse, n'avait pas pu freiner à temps et avait renversé un piéton qui avait déjà traversé plus de la moitié du passage protégé, la faute commise par une conductrice inattentive qui avait heurté une piétonne engagée sur un passage sécurisé peu après avoir bifurqué à gauche, ou encore la faute commise par un conducteur qui, à l'approche d'un carrefour, alors qu'il réduisait son allure et concentrait son attention sur les véhicules venant de sa gauche, avait remarqué tardivement la piétonne qui avait traversé les trois-</w:t>
      </w:r>
    </w:p>
    <w:p>
      <w:r>
        <w:t>Tribunal cantonal TC Page 7 de 9 quarts d'un passage sécurisé, l'avait heurtée et fait chuter (cf. arrêt TF 1C_425/2012 du 17 décembre 2012 consid. 4.1 et les arrêts citées).</w:t>
      </w:r>
    </w:p>
    <w:p>
      <w:r>
        <w:rPr>
          <w:b/>
        </w:rPr>
        <w:t>E. 4.3</w:t>
      </w:r>
    </w:p>
    <w:p>
      <w:r>
        <w:t>Dans les circonstances du cas d'espèce, la faute doit être qualifiée de grave. Il est incontestable qu'en violant la priorité de l'enfant, la recourante a mis sérieusement en danger la sécurité d'autrui, au sens de l'art. 16c al. 1 let. a LCR. Le fait que celle-là n'ait pas été grièvement blessée relève du pur cas fortuit et ne saurait profiter à la recourante. Il est au demeurant notoire que le fait de renverser un piéton peut, dans tous les cas, avoir des conséquences tragiques (cf. arrêt TF 1C_87/2009 précité consid. 4.2). Il y a également lieu de retenir que la faute commise relève d'une négligence grossière, au sens développé par la jurisprudence (cf. ATF 122 II 228 consid. 3b / JdT 1996 I 700 et les références citées; 118 IV 84 consid. 2a). Certes, la recourante souligne que l'enfant a surgi d'une file de véhicules à l'arrêt en courant sur le passage pour piétons. Ces faits ne peuvent cependant pas atténuer la gravité de la faute qu'elle a commise, au contraire. En effet, il y a lieu de relever qu'il ressort des déclarations de la recourante et du rapport de police qu'en raison du trafic dense sur la voie opposée, la vue était masquée sur le côté gauche du passage pour piétons. De telles circonstances auraient manifestement dû inciter l'automobiliste, qui s'approchait d'un passage pour piétons, à adapter sa vitesse à celles-ci, cela d'autant plus qu'elle indique avoir vu une personne – le père de l'enfant – déjà engagée sur le passage entre les voitures à l'arrêt et que le passage en question n'est pas coupé par un îlot séparant les voies à cet endroit. Non seulement la présence d'une personne déjà engagée sur le passage obligeait la recourante à lui accorder la priorité en s'arrêtant mais, de plus, il est notoire que, si la visibilité sur un passage pour piétons est masquée par des véhicules, il existe un risque qu'une personne se soit déjà engagée sur celui-ci sans qu'elle puisse être vue par les automobilistes arrivant en sens inverse. Cette situation nécessite à l'évidence une attention particulière car elle comporte un risque élevé d'accident, lequel s'est d'ailleurs réalisé dans la présente occurrence. Le fait que la recourante n'était pas alcoolisée et que l'enfant n'a heureusement pas souffert de séquelles n'y changent rien. L'argumentation de la recourante, qui demande implicitement que le père de l'enfant – qui selon elle n'aurait pas suffisamment surveillé son enfant – soit également sanctionné n'est manifestement pas de nature à changer cette appréciation. Si un conducteur a le devoir de se montrer particulièrement prudent devant un passage pour piétons lorsque les conditions de route, de circulation et de visibilité sont bonnes, il l'a à plus forte raison dans un cas comme celui-ci; un degré de prudence supérieur au sens de l'art. 33 al. 2 LCR pouvait donc être exigé de la recourante. En l'espèce, cette dernière avait certes ralenti, selon ses dires, mais manifestement pas suffisamment, alors qu'elle reconnaît pourtant avoir remarqué le père qui souhaitait traverser. Il convient en outre de rappeler que les art. 32 al. 1 et 33 al. 1 et 2 LCR, ainsi que les art. 4 al. 1 et</w:t>
      </w:r>
    </w:p>
    <w:p>
      <w:r>
        <w:rPr>
          <w:b/>
        </w:rPr>
        <w:t>E. 6</w:t>
      </w:r>
    </w:p>
    <w:p>
      <w:r>
        <w:t>al. 2 de l'ordonnance du 13 novembre 1962 sur les règles de la circulation routière (OCR; RS 741.11) sont des règles fondamentales qui sont essentielles pour garantir la sécurité de la circulation routière (cf. arrêt TF 6B_1318/2019 du 23 juin 2021 consid. 2.3.3 et les références citées). Dans de telles circonstances, il convient de retenir qu'on se trouvait en présence d'une violation du devoir particulier de prudence, ce qui doit être qualifié de faute grave au sens de l'art. 16c al. 1 let. a LCR. Aucun motif spécifique ni aucune circonstance particulière ne viennent atténuer la faute de la</w:t>
      </w:r>
    </w:p>
    <w:p>
      <w:r>
        <w:t>Tribunal cantonal TC Page 8 de 9 recourante. Partant, outre qu'elle a mis sérieusement en danger la sécurité d'autrui, la recourante a gravement violé les règles de la circulation. Sur le vu de ce qui précède, l'autorité intimée n'a pas violé le droit fédéral en retenant que la recourante avait commis une infraction grave au sens de l'art. 16c al. 1 let. a LCR dans le cadre de l'accident survenu le 10 mars 2022, qualification qui a en outre également été retenue par le Juge pénal. 5. 5.1. Selon l'art. 16c al. 2 let. a LCR, après une infraction grave, le permis d'élève conducteur ou le permis de conduire est retiré pour trois mois au minimum.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5.2. En l'occurrence, l'autorité intimée a fixé au minimum légal de trois mois la durée du retrait. Même pour les motifs avancés par la recourante relatifs à son besoin professionnel de disposer du permis de conduire, cette durée ne peut pas être réduite. Sur le vu de ce qui précède, en prononçant un retrait de permis pour la durée de trois mois, l'OCN n'a pas commis d'excès ou d'abus de son pouvoir d'appréciation.</w:t>
      </w:r>
    </w:p>
    <w:p>
      <w:r>
        <w:rPr>
          <w:b/>
        </w:rPr>
        <w:t>E. 6.1</w:t>
      </w:r>
    </w:p>
    <w:p>
      <w:r>
        <w:t>Partant, le recours doit être rejeté et la décision du 5 décembre 2022 confirmée.</w:t>
      </w:r>
    </w:p>
    <w:p>
      <w:r>
        <w:rPr>
          <w:b/>
        </w:rPr>
        <w:t>E. 6.2</w:t>
      </w:r>
    </w:p>
    <w:p>
      <w:r>
        <w:t>Vu l'issue du recours, les frais de procédure doivent être mis à la charge de la recourante qui succombe, conformément à l'art. 131 CPJA et aux art. 1 et 2 du tarif fribourgeois du 17 décembre 1991 sur les frais de procédure et des indemnités en matière de juridiction administrative (RSF 150.12). (dispositif en page suivante)</w:t>
      </w:r>
    </w:p>
    <w:p>
      <w:r>
        <w:t>Tribunal cantonal TC Page 9 de 9 la Cour arrête : I. Le recours est rejeté. II. Les frais de procédure, par CHF 800.-, sont mis à la charge de la recourante et compensés avec l'avance de frais qu'elle a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 février 2023/jfr/vth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