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147 vom 6. März 2023</w:t>
      </w:r>
    </w:p>
    <w:p>
      <w:r>
        <w:t>FR Kantonsgericht, 2023-03-06, DE</w:t>
      </w:r>
    </w:p>
    <w:p>
      <w:r>
        <w:rPr>
          <w:b/>
        </w:rPr>
        <w:t xml:space="preserve">Quelle: </w:t>
      </w:r>
      <w:r>
        <w:t>https://mcp.opencaselaw.ch/entscheid/fr_gerichte_603_2022_147</w:t>
      </w:r>
    </w:p>
    <w:p>
      <w:r>
        <w:t>FR: FR_GERICHTE 603 2022 147 du 6 mars 2023</w:t>
      </w:r>
    </w:p>
    <w:p>
      <w:r>
        <w:t>IT: FR_GERICHTE 603 2022 147 del 6 marzo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Der Beschwerdeführer trägt in seiner Beschwerde insbesondere vor, dass er erst seit dem 15. September 2022 als Fahrer bei seinem Arbeitgeber angestellt sei. Er habe am 17. September 2022 bei einem Kunden ein paar grössere Möbelstücke laden sollen. Mit dem Kunden sei vereinbart gewesen, lediglich ein paar Möbelstücke zu laden, welche das zulässige Gewicht für den Lieferwa- gen nicht überschreiten. Der Kunde habe jedoch, ohne das Einverständnis von ihm bzw. von seinem Arbeitgeber, mehr beladen als vereinbart gewesen sei. Er habe leider nicht den Mut gehabt, dem Kunden mitzuteilen, dass dies nicht abgemacht sei bzw. seinen Arbeitgeber zu informieren. Dieser habe ihm in der Folge klargemacht, dass er für die Ladung zuständig sei und selbst entscheiden müsse, ob er eine Ladung annehme oder nicht. Er habe aus seinem Fehler gelernt und möchte sich dafür entschuldigen.</w:t>
      </w:r>
    </w:p>
    <w:p>
      <w:r>
        <w:rPr>
          <w:b/>
        </w:rPr>
        <w:t>E. 3.2</w:t>
      </w:r>
    </w:p>
    <w:p>
      <w:r>
        <w:t>Gemäss der Rechtsprechung des Bundesgerichtes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t>Kantonsgericht KG Seite 4 von 6</w:t>
      </w:r>
    </w:p>
    <w:p>
      <w:r>
        <w:rPr>
          <w:b/>
        </w:rPr>
        <w:t>E. 3.3</w:t>
      </w:r>
    </w:p>
    <w:p>
      <w:r>
        <w:t>Vorliegend wurde in sachverhaltlicher Hinsicht im Strafbefehl insbesondere festgehalten, dass der Beschwerdeführer am 17. September 2022 um 11.30 einen Lieferwagen geführt hat, dessen maximales Betriebsgewicht, welches – wie sich aus dem Anzeigerapport schlüssig ergibt – im Fahr- zeugausweis eingetragen war, um 700 kg (20 %) überschritten war. Die Gewichtsüberschreitung bei der Achslast (2. Einzelachse) habe 340 kg betragen (15.17 %) und die garantierte Reifentragkraft sei um 340 kg (15.17 %) überschritten worden.</w:t>
      </w:r>
    </w:p>
    <w:p>
      <w:r>
        <w:rPr>
          <w:b/>
        </w:rPr>
        <w:t>E. 3.4</w:t>
      </w:r>
    </w:p>
    <w:p>
      <w:r>
        <w:t>Nach der erwähnten Rechtsprechung ist auf den im Strafbefehl etablierten Sachverhalt abzu- stellen. Der Beschwerdeführer hat den Strafbefehl nicht angefochten und bestreitet überdies auch in seiner Beschwerde nicht, dass das im Fahrzeugausweis eingetragene Betriebsgewicht beim von ihm geführten Lieferwagen entsprechend überschritten war.</w:t>
      </w:r>
    </w:p>
    <w:p>
      <w:r>
        <w:rPr>
          <w:b/>
        </w:rPr>
        <w:t>E. 4.1</w:t>
      </w:r>
    </w:p>
    <w:p>
      <w:r>
        <w:t>Nach Art. 29 SVG dürfen Fahrzeuge nur in betriebssicherem Zustand in Verkehr gesetzt werden. Namentlich dürfen Fahrzeuge oder Fahrzeugkombinationen nicht überladen werden; zudem muss die Ladung sachgemäss verteilt und gesichert werden (Art. 30 Abs. 2 SVG). Diese Bestimmungen werden konkretisiert durch Art. 67 der Verkehrsregelnverordnung vom 13. Novem- ber 1962 (SR 741.11; VRV), der die maximalen Gewichte und Lasten definiert. Nach Art. 67 Abs. 3 VRV dürfen die im Fahrzeugausweis eingetragenen Höchstwerte nicht überschritten werden.</w:t>
      </w:r>
    </w:p>
    <w:p>
      <w:r>
        <w:rPr>
          <w:b/>
        </w:rPr>
        <w:t>E. 4.2</w:t>
      </w:r>
    </w:p>
    <w:p>
      <w:r>
        <w:t>Gestützt auf den im Strafbefehl etablierten Sachverhalt ist festzuhalten, dass der Beschwer- deführer die erwähnten Bestimmungen verletzt hat.</w:t>
      </w:r>
    </w:p>
    <w:p>
      <w:r>
        <w:rPr>
          <w:b/>
        </w:rPr>
        <w:t>E. 5.1</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 lung begeht, wer durch Verletzung von Verkehrsregeln eine Gefahr für die Sicherheit anderer hervor- 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 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Nur in besonders leichten Fällen kann nach Art. 16a Abs. 4 SVG auf jegliche Massnahmen verzichtet werden. Ein besonders leichter Fall liegt dann vor, wenn die Verletzung von Verkehrsregeln eine besonders geringe Gefahr für die Sicherheit anderer geschaffen hat und den fehlbaren Fahrzeug- lenker dafür nur ein besonders leichtes Verschulden trifft (Urteil BGer 6A.52/2005 vom 2. Dezember 2005 E. 2.2.3). Die Auslegung des besonders leichten Falles orientiert sich an den Verkehrsregel- verletzungen, die nach dem Ordnungsbussengesetz vom 18. März 2016 (OBG; SR 314.1) erledigt werden und ebenfalls keine Administrativmassnahmen nach sich ziehen (Urteil BGer 1C_406/2010</w:t>
      </w:r>
    </w:p>
    <w:p>
      <w:r>
        <w:t>Kantonsgericht KG Seite 5 von 6 vom 29. November 2010 E. 4.2). Der Anwendungsbereich der Norm wurde jedoch in der Praxis nahezu auf null reduziert (WEISSENBERGER, Kommentar SVG und OBG, 2. Aufl. 2015, Art. 16a N. 33).</w:t>
      </w:r>
    </w:p>
    <w:p>
      <w:r>
        <w:rPr>
          <w:b/>
        </w:rPr>
        <w:t>E. 5.2</w:t>
      </w:r>
    </w:p>
    <w:p>
      <w:r>
        <w:t>Vorliegend wurde wie erwähnt das zulässige im Fahrzeugausweis eingetragene Gesamtge- wicht um 700 kg (20 %) überschritten. Die Gewichtsüberschreitung bei der Achslast (2. Einzelachse) betrug 340 kg (15.17 %) und die garantierte Reifentragkraft ist um 340 kg (15.17 %) überschritten worden. Die Bussenliste der Ordnungsbussenverordnung vom 16. Januar 2019 (SR 314.11; OBV) enthält in Ziff. 300.1 das Überschreiten des zulässigen Gewichts bis 5 % und in Ziff. 300.2 das Überschreiten der zulässigen Achslast um nicht mehr als 2 %. Im hier zu beurteilenden Fall wurden diese Werte bei Weitem nicht eingehalten; bei der deutlichen Überschreitung der für den betreffenden Lieferwa- gen geltenden Grenzwerte ist das Ordnungsbussenverfahren offensichtlich ausgeschlossen. Daraus folgt, dass nicht von einem besonders leichten Fall ausgegangen werden kann (vgl. die Urteile BGer 1C_417/2010 vom 25. Januar 2011 E. 2.3.3; 1C_406/2010 vom 29. November 2010 E. 4; 1C_303/2007 vom 15. Mai 2008 E. 8.1 mit Hinweisen). Bei den Bestimmungen über das zulässige Betriebsgewicht handelt es sich um wichtige Verkehrsvorschriften, die zur Sicherheit im Strassen- verkehr beitragen, insbesondere auch auf Autobahnen, wo die Verkehrsteilnehmer mit hohen Geschwindigkeiten unterwegs sind (vgl. Urteile BGer 1C_588/2015 vom 14. April 2016 E. 2.3; 1C_169/2014 vom 18. Februar 2015 E. 4.1; 1C_456/2011 vom 28. Februar 2012 E. 3.1). Namentlich kann sich durch die Überlast auch das Fahrverhalten bzw. der Bremsweg verlängern, das Fahrzeug kann leichter ins Schleudern geraten und die Stabilität und Manövrierbarkeit werden reduziert. Indem der Lieferwagen erheblich überladen wurde, hat der Beschwerdeführer, der als Fahrzeugführer für die Ladung des Fahrzeuges verantwortlich ist, eine (zumindest geringe) Gefahr für die Verkehrsteil- nehmer geschaffen. Schliesslich ist es unerheblich, aus welchen Gründen die zulässige Ladung überschritten wird, da der Fahrer, wenn er sich hinter das Steuer eines überladenen Fahrzeugs setzt, das Risiko eingeht, den Strassenverkehr zu gefährden, und somit die Konsequenzen tragen muss. Folglich ist die Vorinstanz zu Recht davon ausgegangen, dass der Beschwerdeführer eine leichte Widerhandlung gegen die Strassenverkehrsvorschriften im Sinne von Art. 16a Abs. 1 lit. a SVG begangen hat.</w:t>
      </w:r>
    </w:p>
    <w:p>
      <w:r>
        <w:rPr>
          <w:b/>
        </w:rPr>
        <w:t>E. 6.1</w:t>
      </w:r>
    </w:p>
    <w:p>
      <w:r>
        <w:t>Laut Art. 16a Abs. 2 SVG wird der Lernfahr- bzw. Führerausweis nach einer leichten Wider- handlung für mindestens einen Monat entzogen, wenn in den vorangegangenen zwei Jahren der Ausweis entzogen war oder eine andere Administrativmassnahme verfügt wurde. Für die Dauer des Führerausweisentzuges sind nach Art. 16 Abs. 3 SVG die Umstände des Einzelfalls zu berücksich- tigen, namentlich die Gefährdung der Verkehrssicherheit, das Verschulden, der Leumund als Motor- fahrzeugführer sowie die berufliche Notwendigkeit, ein Motorfahrzeug zu führen. Die Mindestent- zugsdauer darf jedoch nicht unterschritten werden.</w:t>
      </w:r>
    </w:p>
    <w:p>
      <w:r>
        <w:rPr>
          <w:b/>
        </w:rPr>
        <w:t>E. 6.2</w:t>
      </w:r>
    </w:p>
    <w:p>
      <w:r>
        <w:t>Der Beschwerdeführer war bereits mit der Verfügung vom 20. Juli 2022 infolge einer leichten Widerhandlung gegen die Strassenverkehrsvorschriften verwarnt worden. Die verfügte Entzugsdau- er ist folglich nicht zu beanstanden und darf – obschon der Beschwerdeführer beruflich auf den Führerausweis angewiesen ist und sich in seiner Beschwerde für seine Widerhandlung entschuldi- gen möchte – gemäss dem Gesetz nicht unterschritten werden.</w:t>
      </w:r>
    </w:p>
    <w:p>
      <w:r>
        <w:t>Kantonsgericht KG Seite 6 von 6 Damit erweist sich der von der Vorinstanz verfügte Warnungsentzug des Führerausweises auf Probe und des Lernfahrausweises für die Dauer von einem Monat als gerechtfertigt.</w:t>
      </w:r>
    </w:p>
    <w:p>
      <w:r>
        <w:rPr>
          <w:b/>
        </w:rPr>
        <w:t>E. 7</w:t>
      </w:r>
    </w:p>
    <w:p>
      <w:r>
        <w:t>Schliesslich ist – gestützt auf Art. 15a Abs. 3 SVG – auch nicht zu beanstanden, dass die Probezeit des Ausweises auf Probe infolge des Entzugs des Führerausweises um ein Jahr verlängert wurde; dies wird im Übrigen vom Beschwerdeführer auch nicht geltend gemacht.</w:t>
      </w:r>
    </w:p>
    <w:p>
      <w:r>
        <w:rPr>
          <w:b/>
        </w:rPr>
        <w:t>E. 8</w:t>
      </w:r>
    </w:p>
    <w:p>
      <w:r>
        <w:t>Die Beschwerde ist folglich abzuweisen und die Verfügung der Vorinstanz vom 9. November 2022 ist zu bestätigen. 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März 2023/dgr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