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130 vom 19. Januar 2023</w:t>
      </w:r>
    </w:p>
    <w:p>
      <w:r>
        <w:t>FR Kantonsgericht, 2023-01-19, FR</w:t>
      </w:r>
    </w:p>
    <w:p>
      <w:r>
        <w:rPr>
          <w:b/>
        </w:rPr>
        <w:t xml:space="preserve">Quelle: </w:t>
      </w:r>
      <w:r>
        <w:t>https://mcp.opencaselaw.ch/entscheid/fr_gerichte_603_2022_130</w:t>
      </w:r>
    </w:p>
    <w:p>
      <w:r>
        <w:t>FR: FR_GERICHTE 603 2022 130 du 19 janvier 2023</w:t>
      </w:r>
    </w:p>
    <w:p>
      <w:r>
        <w:t>IT: FR_GERICHTE 603 2022 130 del 19 gennaio 2023</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et les formes prescrits (79 ss du code cantonal du 23 mai 1991 de procédure et de juridiction administrative, CPJA ; RSF 150.1) - l'avance des frais de procédure ayant par ailleurs été versée en temps utile - le recours est recevable à la forme. La Cour de céans peut dès lors en examiner les mérites.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d'opportunité (art 78 al. 2 CPJA).</w:t>
      </w:r>
    </w:p>
    <w:p>
      <w:r>
        <w:rPr>
          <w:b/>
        </w:rPr>
        <w:t>E. 2.1</w:t>
      </w:r>
    </w:p>
    <w:p>
      <w:r>
        <w:t>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TF 6A.82/2006 du 27 décembre 2006). Selon la jurisprudence et la doctrine,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(cf. arrêts TF 1C_611/2018 du 18 avril 2019 consid. 2.2; 6A.100/2006 du 28 mars 2007 et les références). Il convient d'éviter que les autorités administratives et judiciaires, à partir d'un même événement, aboutissent à des constatations de fait divergentes et apprécient les preuves à disposition de manière différente. En raison du droit du prévenu de coopérer à l'instruction, des moyens plus vastes</w:t>
      </w:r>
    </w:p>
    <w:p>
      <w:r>
        <w:t>Tribunal cantonal TC Page 4 de 10 d'investigation et des pouvoirs procéduraux étendus du juge, la procédure pénale garantit mieux la recherche de la vérité matérielle que la procédure administrative, laquelle n'est pas soumise aux mêmes exigences formelles. Par conséquent, si l'intéressé fait ou va probablement faire l'objet d'une dénonciation pénale, l'autorité administrative doit en principe surseoir à statuer jusqu'à droit connu sur le plan pénal, dans la mesure où l'état de fait ou la qualification juridique du comportement litigieux sont pertinents dans le cadre de la procédure administrative. Si les conditions pour s'écarter d'un jugement pénal entré en force ne sont pas réalisées, l'autorité administrative devra s'y tenir (ATF 119 Ib 158 / JdT 1994 I 675 consid. 2c/bb; cf. également arrêt TC FR 603 2021 170 du 3 janvier 2022 consid. 2.1).</w:t>
      </w:r>
    </w:p>
    <w:p>
      <w:r>
        <w:rPr>
          <w:b/>
        </w:rPr>
        <w:t>E. 2.2</w:t>
      </w:r>
    </w:p>
    <w:p>
      <w:r>
        <w:t>En l'espèce, par ordonnance pénale du 14 juin 2022, le recourant a été reconnu coupable de violations simples et graves des règles de la circulation routière. Or, il avait été expressément avisé par l'OCN que, s'il entendait contester les faits qui lui sont reprochés, il devait faire valoir ses arguments dans le cadre de la procédure pénale. Il ne s'est cependant pas opposé à dite ordonnance qui est dès lors entrée en force. C'est en vain dans ces conditions qu'il tente de remettre en cause dans le cadre de la présente procédure les faits établis sur le plan pénal, en contestant purement et simplement avoir commis les infractions pour lesquelles il a été condamné. Du reste, force est de constater que, lors de son audition par la police cantonale vaudoise, le jour-même de son interpellation, il avait admis avoir circulé sur environ 3 km sur la voie de gauche avec le clignotant enclenché, avoir fait des appels de phares aux véhicules qui le précédaient pour les inciter à se rabattre et avoir circulé à quelque 5 ou 10 m des véhicules qu'il suivait, il avait également reconnu qu'il n'y avait qu'une distance d'environ</w:t>
      </w:r>
    </w:p>
    <w:p>
      <w:r>
        <w:rPr>
          <w:b/>
        </w:rPr>
        <w:t>E. 5</w:t>
      </w:r>
    </w:p>
    <w:p>
      <w:r>
        <w:t>m avec le véhicule derrière lequel il s'était finalement rabattu sur la voie de droite. Il avait alors justifié son comportement impatient en raison d'un rendez-vous pour lequel il ne voulait pas arriver en retard et parce qu'il était énervé par les automobilistes qui ne se rabattaient pas sur la voie de droite malgré son clignotant et ses appels de phares. Il est mal venu dès lors de nier fermement les infractions commises en affirmant qu'il conduit toujours prudemment. C'est en vain également qu'il requiert la production de "preuves vidéo" confirmant le déroulement des faits. Il suffit de rappeler que ceux-ci ont été établis dans le cadre d'une procédure pénale non contestée, sur la base d'un rapport de police émanant d'agents assermentés et du procès-verbal d'audition de l'intéressé, qui les avait alors pour l'essentiel admis. Au surplus, dans son recours, l'intéressé n'a fait valoir aucun élément pertinent justifiant de se distancier de l'état de fait retenu sur le plan pénal. Partant, cet état de fait doit être considéré comme établi (cf. à ce propos, arrêt TF 6A.100/2006 du 28 mars 2007 et les références citées; KNAPP, n° 38). C'est à bon droit que l'OCN a fondé sa décision sur celui-ci, nonobstant les contestations du recourant. 3. 3.1. L'art. 26 al. 1 LCR prescrit que chacun doit se comporter, dans la circulation, de manière à ne pas gêner ni mettre en danger ceux qui utilisent la route conformément aux règles établies. Selon les art. 31 LCR et 3 al. 1 de l'ordonnance du 13 novembre 1962 sur les règles de la circulation routière (OCR; RS 741.11), le conducteur vouera son attention à la route et à la circulation. L'attention requise du conducteur implique notamment qu'il soit en mesure de parer rapidement aux dangers qui menacent la vie, l'intégrité corporelle ou les biens matériels d'autrui. De toute manière,</w:t>
      </w:r>
    </w:p>
    <w:p>
      <w:r>
        <w:t>Tribunal cantonal TC Page 5 de 10 le conducteur doit vouer à la route et au trafic toute l'attention possible, et le degré de cette attention doit être apprécié en regard de toutes les circonstances, telles que la densité du trafic, la configuration des lieux, l'heure, la visibilité, les sources de danger prévisibles, pour n'en citer que quelques-unes (ATF 103 IV 105 consid. 2b). L'art. 34 LCR consacre le principe de la circulation à droite. Selon son al. 1, 1ère phrase, les véhicules tiendront leur droite et circuleront, si la route est large, sur la moitié droite de celle-ci. L'al. 3 prévoit que le conducteur qui veut modifier sa direction de marche, par exemple pour obliquer, dépasser, se mettre en ordre de présélection ou passer d'une voie à l'autre, est tenu d'avoir égard aux usagers de la route qui viennent en sens inverse ainsi qu'aux conducteurs qui le suivent. Enfin, l'al. 4 énonce que le conducteur observera une distance suffisante envers tous les usagers de la route, notamment pour croiser, dépasser et circuler de front ou lorsque des véhicules se suivent. L'art. 12 al. 1 OCR précise à ce propos que lorsque des véhicules se suivent, le conducteur doit se tenir à une distance suffisante du véhicule qui le précède, afin de pouvoir s'arrêter à temps en cas de freinage inattendu. Par ailleurs, l'art. 39 al. 1 LCR dispose qu'avant de changer de direction, le conducteur manifestera à temps son intention au moyen des indicateurs de direction. Selon l'alinéa 2 de cette disposition, le conducteur qui signale son intention aux autres usagers de la route n'est pas dispensé pour autant d'observer les prescriptions nécessaires. L'art. 40 LCR prévoit que, si la sécurité de la circulation l’exige, le conducteur avertira les autres usagers de la route. Les signaux avertisseurs inutiles ou excessifs seront évités. L’emploi du signal avertisseur en guise d’appel est interdit. Enfin, selon l'art. 44 al. 1 LCR, sur les routes marquées de plusieurs voies pour une même direction, le conducteur ne peut passer d'une voie à l'autre que s'il n'en résulte pas de danger pour les autres usagers de la route. 3.2. En l'espèce, en talonnant, par deux fois, le véhicule qui le précédait sur la voie de dépassement, en maintenant une distance de sécurité insuffisante envers les véhicules qu'il suivait, en indiquant par des appels de phares répétés sa volonté de dépasser, en ralentissant fortement pour s'introduire entre deux véhicules qui roulaient normalement sur la voie de droite et, ce faisant, en forçant celui qui se trouvait derrière lui à freiner énergiquement, le recourant a manifestement enfreint les dispositions précitées. Son comportement téméraire au volant justifiait le prononcé d'une mesure administrative. 4. 4.1. La LCR distingue les infractions légères, moyennement graves et graves (art. 16a à 16c LCR). Conformément à l'art. 16a al. 1 let. a LCR, commet une infraction légère la personne qui, en violant les règles de la circulation, met légèrement en danger la sécurité d'autrui et à laquelle seule une faute bénigne peut être imputée. En vertu de l'art. 16b al. 1 let. a LCR, commet une infraction moyennement grave la personne qui, en violant les règles de la circulation, crée un danger pour la sécurité d'autrui ou en prend le risque. Enfin, selon l'art. 16c al. 1 let. a LCR, commet une infraction grave la personne qui, en violant les règles de la circulation, met sérieusement en danger la sécurité d'autrui ou en prend le risque.</w:t>
      </w:r>
    </w:p>
    <w:p>
      <w:r>
        <w:t>Tribunal cantonal TC Page 6 de 10 Ainsi, la loi fait la distinction entre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Il ne saurait en revanche être question de tenir compte des besoins professionnels de l'intéressé, ceux-ci ne jouant un rôle que lorsqu'il s'agit de mesurer la durée du retrait (cf. arrêt TC FR 603 2016 227 du 8 mai 2017 consid. 4a).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6A.16/2006 du 6 avril 2006 consid. 2.1.1 et les références citées). L'infraction sanctionnée par l'art. 16c al. 1 let. a LCR correspond en principe à la définition de l'infraction réprimée sur le plan pénal par l'art. 90 al. 2 LCR (MIZEL, Les nouvelles dispositions légales sur le retrait du permis de conduire, in RDAF 2004, p. 395). Le Tribunal fédéral tient ces notions pour identiques à tous les égards (ATF 120 Ib 285);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4.2. Les dispositions relatives à une distance suffisante sont d'une importance considérable, car les cas d'accidents où le deuxième véhicule ne respecte pas une distance de sécurité suffisante avec le premier sont nombreux (ATF 126 II 358 consid. 1a); la jurisprudence a maintes fois confirmé qu'une distance suffisante, au sens de l'art. 34 al. 4 LCR, doit toujours être observée (ATF 115 IV 248 consid. 3a; 131 IV 133 consid. 3; arrêts TF 1C_502/2011 du 6 mars 2012 consid. 3.1; 1C_590/2015 du 10 août 2016 consid. 3.2; 1C_26/2018 du 15 juin 2018 consid. 2.1). Le conducteur du véhicule qui suit doit notamment tenir compte dans son appréciation d'une certaine marge de sécurité; il doit être conscient qu'il ne perçoit le freinage du conducteur qui le précède qu'au moment où ce freinage est déjà commencé et alors que ce conducteur a déjà réagi; par ailleurs, l'espacement doit être réglé en tenant compte des obstacles qui pourraient obliger le conducteur qui précède à faire une manœuvre d'évitement sans freinage dont le résultat serait que le conducteur qui suit se</w:t>
      </w:r>
    </w:p>
    <w:p>
      <w:r>
        <w:t>Tribunal cantonal TC Page 7 de 10 trouverait subitement en présence d'un obstacle qui lui serait caché et qu'il ne pourrait pas éviter (cf. BUSSY/RUSCONI, Code suisse de la circulation routière commenté, 4e éd. 2015, art. 34 LCR n. 5.2). La jurisprudence n'a pas fixé de distances minima à respecter au-delà desquelles il y aurait infractions, simple, moyennement grave ou grave, à la LCR. La règle des deux secondes ou du "demi-compteur" (correspondant à un intervalle de 1,8 seconde) sont des standards minima habituellement reconnus (ATF 131 IV 133 consid. 3.1). Cet intervalle doit en principe être maintenu entre chaque véhicule, sous peine de compromettre gravement la sécurité de la circulation (JdT 1994 I 684, 1993 I 694, 1988 I 650). Prenant en compte la pratique allemande et la doctrine, la jurisprudence a cependant considéré que le cas peut être grave lorsque l'intervalle entre les véhicules est inférieur à 0,8 voire 0,6 seconde (ATF 131 IV 133 consid. 3.2.2 et les références citées). Ainsi, une faute grave a été retenue lorsqu'un automobiliste avait, sur une distance de 800 m environ et à une vitesse supérieure à 100 km/h, suivi le véhicule le précédant sur la voie de gauche de l'autoroute avec un écart de moins de 10 m, correspondant à 0,3 seconde de temps de parcours (ATF 131 IV 133), ou lorsqu'à une vitesse de 100 km/h, un conducteur avait suivi le véhicule précédant sur 330 m à une distance de 10 m (arrêt TF 1C_356/2009 du 12 février 2010), ou encore lorsqu'un contrevenant avait circulé à une vitesse de 100 km/h environ, sur 700 m, à une distance située entre 7 et 10 m du véhicule le précédant (arrêt TF 1C_7/2010 du 11 mai 2010), ou enfin si, à la même vitesse, un automobiliste suivait sur 500 m un véhicule à une distance variant entre 5 et</w:t>
      </w:r>
    </w:p>
    <w:p>
      <w:r>
        <w:rPr>
          <w:b/>
        </w:rPr>
        <w:t>E. 5.1</w:t>
      </w:r>
    </w:p>
    <w:p>
      <w:r>
        <w:t>Selon l'art. 16c al. 2 let. a LCR, après une infraction grave, le permis d'élève conducteur ou le permis de conduire est retiré pour trois mois au minimum.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IV 4131; ATF 132 II 234 consid. 2.3). En outre, selon l'art. 49 al. 1, 1ère phrase du code pénal du 21 décembre 1937 (CP; RS 311.0), si, en raison d'un ou de plusieurs actes, l'auteur remplit les conditions de plusieurs peines de même genre, le juge le condamne à la peine de l'infraction la plus grave et l'augmente dans une juste proportion. Jurisprudence et doctrine admettent l'application par analogie de l'art. 49 CP en droit administratif général, aux fins de respecter le principe de la proportionnalité (SJ 2008 I 49, 53; TANQUEREL, Manuel de droit administratif, 2011, n° 1216), notamment aussi lorsque plusieurs causes de retrait de permis de conduire sont en concours (ATF 108 Ib 258 consid. 2a; RÜTSCHE/WEBER, Theorie und Praxis des Führerausweisentzugs, in Journées du droit de la circulation routière 2012, p. 151). L’autorité administrative doit prononcer une mesure pour l’infraction la plus grave et en prolonger la durée équitablement. Sur la base de tous les éléments à prendre en compte, elle fixe ainsi une mesure d’ensemble, comme prévu par l’art. 49 al. 1 CP (MIZEL, Droit et pratique illustrée du retrait du permis de conduire, 2015, p. 547 s).</w:t>
      </w:r>
    </w:p>
    <w:p>
      <w:r>
        <w:t>Tribunal cantonal TC Page 9 de 10</w:t>
      </w:r>
    </w:p>
    <w:p>
      <w:r>
        <w:rPr>
          <w:b/>
        </w:rPr>
        <w:t>E. 5.2</w:t>
      </w:r>
    </w:p>
    <w:p>
      <w:r>
        <w:t>En l'espèce, en prononçant, comme mesure d'ensemble, un retrait du permis de conduire pour la durée de trois mois, l'OCN a pris en compte, dans une juste mesure, le cumul des infractions – graves et moyennement graves – commises le 6 mars 2022 ainsi que l'absence d'antécédent du recourant comme conducteur de véhicule automobile. L'autorité intimée s'en est ainsi tenue à la durée minimale prévue par l'art. 16c al. 2 let. a LCR en cas d'infraction grave, de sorte qu'une réduction de celle-là ne saurait entrer en ligne de compte, pour quelque motif que ce soit. Ainsi, le besoin professionnel invoqué par le recourant – mais non établi en l'espèce – ne permettrait pas une réduction de la durée du retrait. Certes, la Cour est bien consciente des inconvénients que le recourant aura à subir en raison du retrait de son permis de conduire. Cela étant, par sa conduite téméraire au volant, il a pris le risque, non seulement de mettre sa propre sécurité et celles des autres usagers de la route en danger, mais également de se voir retirer son permis de conduire. Il ne peut dès lors s'en prendre qu'à lui-même s'il doit en subir les conséquences.</w:t>
      </w:r>
    </w:p>
    <w:p>
      <w:r>
        <w:rPr>
          <w:b/>
        </w:rPr>
        <w:t>E. 5.3</w:t>
      </w:r>
    </w:p>
    <w:p>
      <w:r>
        <w:t>C’est en vain également que le recourant se plaint d'avoir été doublement puni, par une sanction pénale et une mesure administrative. En matière de répression des infractions aux règles de la circulation routière, le droit suisse connaît le système de la double procédure pénale et administrative. Le Juge pénal prononce donc une sanction pénale prévue aux art. 90 ss LCR, tandis que l’autorité administrative décide d’une mesure administrative (MIZEL, p. 684). Cette double procédure a par ailleurs été admise par la Cour européenne des droits de l’Homme (arrêt CourEDH n° 31982/96 R.T. contre Suisse du 30 mai 2000) qui juge que la mesure administrative s’apparente à une peine complémentaire à la condamnation pénale, dont elle fait partie intégrante (arrêt CourEDH n° 73661/01 Nilsson contre Suède du</w:t>
      </w:r>
    </w:p>
    <w:p>
      <w:r>
        <w:rPr>
          <w:b/>
        </w:rPr>
        <w:t>E. 10</w:t>
      </w:r>
    </w:p>
    <w:p>
      <w:r>
        <w:t>m (arrêt TF 1C_413/2014 du 30 mars 2015; arrêt TC FR 603 2022 62 du 1er juin 2022). 4.3. En l'espèce, il ressort du jugement pénal, qui se réfère au rapport de police, qu'alors qu'il circulait sur la voie de dépassement de l'autoroute à la vitesse d'environ 120 km/h, le recourant a talonné un véhicule à une distance minimale estimée à 3 m, ce qui correspond à 0,095 seconde de temps de parcours. Il a ainsi largement franchi la limite de 0,8 - voire 0,6 - mentionnée par la jurisprudence précitée, au-dessous de laquelle les cas sont considérés comme graves. Cette qualification peut être confirmée en l'espèce, d'autant que le recourant a adopté cette conduite téméraire à deux reprises successives, ce qui exclut la simple inattention momentanée de sa part et démontre qu'il a délibérément enfreint une règle élémentaire de prudence qui doit s'imposer à tout automobiliste soucieux de la sécurité de la route. En effet, vu la vitesse élevée à laquelle circulent les véhicules sur l'autoroute, ce comportement était manifestement de nature à occasionner une grave mise en danger de la circulation, ce qui ne pouvait échapper au recourant. Cette très courte distance entre deux véhicules n'aurait à l'évidence pas permis au recourant, en cas de freinage d'urgence du véhicule qui le précédait ou de ralentissement brusque de la circulation, de réagir à temps pour éviter la collision. Or, il est reconnu qu'une collision sur l'autoroute est source de graves dangers pour les usagers de la route impliqués et qu'elle est de surcroît de nature à occasionner des collisions en chaîne, lesquelles résultent très souvent précisément d'un non-respect des distances entre les véhicules. L'on doit retenir, dans ces conditions, que le recourant a pris le risque de mettre gravement en danger la sécurité de la route; que ce risque ne se soit heureusement pas concrétisé relève du cas fortuit qui ne saurait profiter à l'intéressé. Par ailleurs, l'art. 44 LCR consacre à l'évidence une règle élémentaire de la sécurité routière. En effet, il est primordial que, sur des voies parallèles, les usagers de la route puissent compter sur un comportement respectueux des usagers. Le danger résultant du non-respect de cette règle est particulièrement important sur des routes où la vitesse autorisée est élevée, notamment sur des autoroutes. Une inattention lors d'un changement de voie peut provoquer des manœuvres de</w:t>
      </w:r>
    </w:p>
    <w:p>
      <w:r>
        <w:t>Tribunal cantonal TC Page 8 de 10 freinage brusque, entraînant un risque élevé d'accident (cf. arrêt TF 1C_294/2011 du 25 octobre 2011 consid. 3.5). Or, en l'espèce, après avoir circulé sur une longue distance sur la voie de dépassement, le recourant a fortement ralenti pour se rabattre précipitamment entre deux véhicules sur la voie de droite, forçant le conducteur qui se trouvait derrière le sien à freiner énergiquement pour éviter la collision. Il est indiscutable que, ce faisant le recourant a commis une faute grave et entraîné une sérieuse mise en danger de la circulation, aggravée davantage par la vitesse élevée des véhicules qui circulent sur l'autoroute. Fort heureusement, l'accident a été évité grâce au freinage énergique du véhicule qui le suivait. 4.4. Il y a lieu de confirmer, dans ces conditions, qu'en talonnant par deux fois un véhicule qui le précédait jusqu'à ne maintenir avec celui-ci qu'une distance de 3 m puis en se rabattant brusquement sur la voie de droite en forçant un conducteur à freiner énergiquement, le recourant a manifestement commis des infractions graves, comme l'a retenu à juste titre l'OCN. A cela s'ajoute que le recourant a circulé sur la voie de gauche de l'autoroute sur une longue distance - quelque 3 km selon ses déclarations – sans maintenir la distance de sécurité nécessaire avec les véhicules qu'il suivait. Cette infraction devait être qualifiée, à tout le moins, de moyennement grave. La qualification juridique des infractions commises par le recourant - graves et moyennement graves - correspond au demeurant à celle retenue sur le plan pénal. Elle échappe dès lors à toute critique. 5.</w:t>
      </w:r>
    </w:p>
    <w:p>
      <w:r>
        <w:rPr>
          <w:b/>
        </w:rPr>
        <w:t>E. 13</w:t>
      </w:r>
    </w:p>
    <w:p>
      <w:r>
        <w:t>décembre 2005). En droit suisse, cette double procédure est nécessaire pour apprécier l’état de fait sous tous ses aspects juridiques. Le Juge pénal n’est pas compétent pour prononcer un retrait du permis de conduire. Ainsi, comme seul le concours de deux autorités permet de subsumer l’état de fait à toutes les règles juridiques, deux autorités aux compétences distinctes, ne disposant pas du même type de sanction, poursuivant des buts distincts, sont amenées à statuer sur le même état de fait dans le contexte de deux procédures distinctes. De plus, même si le retrait du permis de conduire présente un caractère pénal, il s’agit d’une sanction administrative indépendante de la sanction pénale, avec une fonction préventive et éducative prépondérante. Son but est de garantir le respect des règles de la circulation routière et la sécurité des usagers de la route et de prévenir de nouvelles infractions (ATF 137 I 363 consid. 2.4; arrêt TF 1C_268/2012 du 31 octobre 2012 consid. 3.3). 6. 6.1. Pour l'ensemble des motifs qui précèdent, il faut constater que la décision de l'OCN, conforme aux principes de la légalité et de la proportionnalité, échappe à la critique et doit être confirmée. Partant, le recours doit être rejeté. 6.2. 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w:t>
      </w:r>
    </w:p>
    <w:p>
      <w:r>
        <w:t>Tribunal cantonal TC Page 10 de 10 la Cour arrête : I. Le recours est rejeté. II. Les frais de procédure, par CHF 800.-, sont mis à la charge du recourant. Ils sont compensés par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19 janvier 2023/mju/som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