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118 vom 24. Oktober 2022</w:t>
      </w:r>
    </w:p>
    <w:p>
      <w:r>
        <w:t>FR Kantonsgericht, 2022-10-24, FR</w:t>
      </w:r>
    </w:p>
    <w:p>
      <w:r>
        <w:rPr>
          <w:b/>
        </w:rPr>
        <w:t xml:space="preserve">Quelle: </w:t>
      </w:r>
      <w:r>
        <w:t>https://mcp.opencaselaw.ch/entscheid/fr_gerichte_603_2022_118</w:t>
      </w:r>
    </w:p>
    <w:p>
      <w:r>
        <w:t>FR: FR_GERICHTE 603 2022 118 du 24 octobre 2022</w:t>
      </w:r>
    </w:p>
    <w:p>
      <w:r>
        <w:t>IT: FR_GERICHTE 603 2022 118 del 24 ottobre 2022</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ss du code cantonal du 23 mai 1991 de procédure et de juridiction administrative, CPJA; RSF 150.1) - l'avance des frais de procédure ayant par ailleurs été versée en temps utile - le recours est recevable à la forme. La Cour de céans peut dès lors en examiner les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1c/aa et bb; 104 Ib 359; 102 Ib 196).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Toutefois, l'autorité administrative n'est pas liée par la qualification juridique et peut s'écarter du jugement pénal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w:t>
      </w:r>
    </w:p>
    <w:p>
      <w:r>
        <w:t>Tribunal cantonal TC Page 4 de 6</w:t>
      </w:r>
    </w:p>
    <w:p>
      <w:r>
        <w:rPr>
          <w:b/>
        </w:rPr>
        <w:t>E. 3.2</w:t>
      </w:r>
    </w:p>
    <w:p>
      <w:r>
        <w:t>En l'espèce, il est reproché au recourant d'avoir conduit sous le coup d'un retrait de permis, le 23 mai 2022. Par ordonnance pénale du 22 juin 2022, le recourant a été reconnu coupable de violation des règles de la circulation routière (conduite d'un véhicule automobile malgré le refus, le retrait ou l'interdiction de l'usage du permis). Il n'a pas contesté cette ordonnance, qui est dès lors entrée en force. Si le recourant entendait critiquer les faits précités, il aurait dû faire valoir ses arguments dans le cadre de la procédure pénale, comme l'OCN l'en avait expressément avisé. L'état de fait retenu par le Juge pénal peut dès lors être considéré comme établi (cf. à ce propos, arrêt TF 6A.100/2006 du 28 mars 2007 et les références citées; KNAPP, n° 38).</w:t>
      </w:r>
    </w:p>
    <w:p>
      <w:r>
        <w:rPr>
          <w:b/>
        </w:rPr>
        <w:t>E. 4</w:t>
      </w:r>
    </w:p>
    <w:p>
      <w:r>
        <w:t>Aux termes de l'art. 16c al. 1 let. f LCR, commet une infraction grave la personne qui conduit un véhicule automobile alors que le permis de conduire lui a été retiré. En l'espèce, il est établi que le recourant a conduit sous le coup d'un retrait de permis, le 23 mai 2022. En effet, la décision de retrait du permis de conduire prise à son endroit le 17 février 2022, non contestée, est entrée en force de sorte qu'elle ne peut plus être remise en cause dans le cadre de la présente procédure, ce que le recourant ne conteste à juste titre pas. Vu la disposition précitée, c'est à bon droit que l'OCN a retenu que la conduite sous le coup du retrait constituait une infraction grave.</w:t>
      </w:r>
    </w:p>
    <w:p>
      <w:r>
        <w:rPr>
          <w:b/>
        </w:rPr>
        <w:t>E. 5.1</w:t>
      </w:r>
    </w:p>
    <w:p>
      <w:r>
        <w:t>A teneur de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w:t>
      </w:r>
    </w:p>
    <w:p>
      <w:r>
        <w:rPr>
          <w:b/>
        </w:rPr>
        <w:t>E. 5.2</w:t>
      </w:r>
    </w:p>
    <w:p>
      <w:r>
        <w:t>En l'espèce, comme mentionné ci-dessus, le recourant a déjà fait l'objet d'un retrait de permis pour faute grave le 17 février 2022. La nouvelle infraction grave ayant été commise dans les cinq ans suivant ce retrait, le permis du recourant devait être retiré pour la durée minimale de douze mois, conformément à l'art. 16c al. 2 let. c LCR.</w:t>
      </w:r>
    </w:p>
    <w:p>
      <w:r>
        <w:rPr>
          <w:b/>
        </w:rPr>
        <w:t>E. 6.1</w:t>
      </w:r>
    </w:p>
    <w:p>
      <w:r>
        <w:t>Selon l'art. 16 al. 3 LCR, les circonstances doivent être prises en considération pour fixer la durée du retrait du permis d'élève conducteur ou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(cf. ATF 132 II 234 consid. 2.3).</w:t>
      </w:r>
    </w:p>
    <w:p>
      <w:r>
        <w:rPr>
          <w:b/>
        </w:rPr>
        <w:t>E. 6.2</w:t>
      </w:r>
    </w:p>
    <w:p>
      <w:r>
        <w:t>En l'espèce, l'OCN a prononcé un retrait de douze mois. Ce faisant, l'autorité s'en est dès lors tenue à la durée minimale du retrait, laquelle ne peut être réduite, pour quelque raison que ce soit (cf. art. 16 al. 3, 2ème phrase, LCR; ATF 132 II 234 consid. 2.3). Autrement dit, les besoins professionnels et personnels de disposer du permis, tels que le recourant les a exposés dans son recours, ne peuvent conduire à une réduction de la durée du retrait, limitée au minimum légal.</w:t>
      </w:r>
    </w:p>
    <w:p>
      <w:r>
        <w:t>Tribunal cantonal TC Page 5 de 6 C'est à juste titre également que, conformément à l'art. 16c al. 3 LCR, l'OCN a substitué à la durée du retrait du permis la durée restante du retrait alors en cours, à savoir 33 jours, soit la période comprise entre le 23 mai 2022 et l'échéance de la mesure du 17 février 2022. En effet,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(cf. ATF 136 II 447 consid. 5.3), la loi aménage, pour l'infraction de conduite sans permis (art. 16c al. 1 let. f LCR), un antécédent immédiatement aggravant dans le système des cascades des sanctions prévues par les art. 16 ss LCR (cf. arrêts TF 1C_275/2007 du 16 mai 2008 consid. 4.3; 1C_32/2015 du 18 juin 2015 consid. 6.1; 1C_579/2014 du 15 juillet 2015 consid. 3.1). Au vu de la teneur de la règle légale, le premier retrait est remplacé par la deuxième mesure dès le jour de la commission de la nouvelle infraction (cf. arrêts TF 1C_584/2015 du 1er mars 2016 consid. 3.1; 1C_29/2015 du 24 avril 2015 consid. 2.3). Contrairement à ce que pense le recourant, l'infraction commise en 2012 n'a pas eu d'influence pour fixer la durée du retrait. Finalement, il y a lieu de préciser encore que la sanction prévue par la loi consiste en un retrait du permis de conduire et qu'il est impossible de remplacer celui-ci par une sanction pécuniaire comme le réclame le recourant.</w:t>
      </w:r>
    </w:p>
    <w:p>
      <w:r>
        <w:rPr>
          <w:b/>
        </w:rPr>
        <w:t>E. 7</w:t>
      </w:r>
    </w:p>
    <w:p>
      <w:r>
        <w:t>Il résulte de l'ensemble des considérants qui précèdent qu'en fixant à douze mois la durée du retrait du permis de conduire du recourant, l'OCN n'a pas violé la loi ni commis un excès ou abus de son pouvoir d'appréciation. Mal fondé, le recours doit dès lors être rejeté et la décision de l'OCN confirmée.</w:t>
      </w:r>
    </w:p>
    <w:p>
      <w:r>
        <w:rPr>
          <w:b/>
        </w:rPr>
        <w:t>E. 8</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(dispositif en page suivante)</w:t>
      </w:r>
    </w:p>
    <w:p>
      <w:r>
        <w:t>Tribunal cantonal TC Page 6 de 6 la Cour arrête : I. Le recours est rejeté. II. Les frais de procédure, par CHF 800.-, sont mis à la charge du recourant. Ils sont compensés par l'avance de frais qu'il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octobre 2022/jfr/vth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