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90 vom 4. August 2021</w:t>
      </w:r>
    </w:p>
    <w:p>
      <w:r>
        <w:t>FR Kantonsgericht, 2021-08-04, DE</w:t>
      </w:r>
    </w:p>
    <w:p>
      <w:r>
        <w:rPr>
          <w:b/>
        </w:rPr>
        <w:t xml:space="preserve">Quelle: </w:t>
      </w:r>
      <w:r>
        <w:t>https://mcp.opencaselaw.ch/entscheid/fr_gerichte_603_2021_90</w:t>
      </w:r>
    </w:p>
    <w:p>
      <w:r>
        <w:t>FR: FR_GERICHTE 603 2021 90 du 4 août 2021</w:t>
      </w:r>
    </w:p>
    <w:p>
      <w:r>
        <w:t>IT: FR_GERICHTE 603 2021 90 del 4 agosto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 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Gemäss Art. 16 Abs. 2 SVG wird nach Widerhandlungen gegen die Strassenverkehrsvorschriften, bei denen das Verfahren nach dem Ordnungsbussengesetz vom 24. Juni 1970 (OBG; SR 741.03) ausgeschlossen ist, der Lernfahr- oder Führerausweis entzogen oder eine Verwarnung ausgespro- chen.</w:t>
      </w:r>
    </w:p>
    <w:p>
      <w:r>
        <w:rPr>
          <w:b/>
        </w:rPr>
        <w:t>E. 3.1</w:t>
      </w:r>
    </w:p>
    <w:p>
      <w:r>
        <w:t>Das Gesetz unterscheidet zwischen der leichten, mittelschweren und schweren Widerhand- lung (Art. 16a-c SVG).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 strativmassnahme verfügt wurde (Abs. 3). Gemäss Art. 16b SVG begeht eine mittelschwere Wider- handlung, wer durch Verletzung von Verkehrsregeln eine Gefahr für die Sicherheit anderer hervor- ruft oder in Kauf nimmt (Abs. 1 lit. a). Nach einer mittelschweren Widerhandlung wird der Führer- ausweis für mindestens einen Monat entzogen (Abs. 2 lit. a). Leichte und mittelschwere Wider- handlungen werden von Art. 90 Abs. 1 SVG als einfache Verkehrsregelverletzungen erfasst (BGE 135 II 138 E. 2.4). Gemäss Art. 16c SVG begeht eine schwere Widerhandlung, wer durch grobe Verletzung von Verkehrsregeln eine ernstliche Gefahr für die Sicherheit anderer hervorruft oder in Kauf nimmt (Abs. 1 lit. a). Nach einer schweren Widerhandlung, welche einer groben Verkehrsre- gelverletzung im Sinne von Art. 90 Abs. 2 SVG entspricht (BGE 132 II 234 E. 3), wird der Führer- ausweis für mindestens drei Monate entzogen (Abs. 2 lit. a; zum Ganzen: Urteil BGer 1C_424/2012 vom 14. Januar 2013 E. 2.1).</w:t>
      </w:r>
    </w:p>
    <w:p>
      <w:r>
        <w:rPr>
          <w:b/>
        </w:rPr>
        <w:t>E. 3.2</w:t>
      </w:r>
    </w:p>
    <w:p>
      <w:r>
        <w:t>Die mittelschwere Widerhandlung stellt nach Art. 16b Abs. 1 lit. a SVG einen Auffangtatbe- stand dar. Sie liegt vor, wenn nicht alle privilegierenden Elemente einer leichten Widerhandlung nach Art. 16a Abs. 1 lit. a SVG und nicht alle qualifizierenden Elemente einer schweren Wider- handlung nach Art. 16c Abs. 1 lit. a SVG gegeben sind (Urteil BGer 6A.16/2006 vom 6. April 2006 E. 2.1.1).</w:t>
      </w:r>
    </w:p>
    <w:p>
      <w:r>
        <w:t>Kantonsgericht KG Seite 4 von 7 Die Annahme einer schweren Widerhandlung setzt kumulativ eine qualifizierte objektive Gefähr- dung und ein qualifiziertes Verschulden voraus. Ist die Gefährdung gering, aber das Verschulden hoch, oder umgekehrt die Gefährdung hoch und das Verschulden gering, liegt eine mittelschwere Widerhandlung vor (MIZEL, Die Grundtatbestände der neuen Warnungsentzüge des SVG und ihre Beziehung zum Strafrecht, in ZStrR 124/2006, S. 31 ff., insbesondere S. 63 f.; zum Ganzen: Urteil BGer 1C_456/2011 vom 28. Februar 2012 E. 2.2). Für die Annahme einer schweren Widerhand- lung wird in objektiver Hinsicht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 zung ein rücksichtsloses oder sonst schwerwiegend verkehrswidriges Verhalten, d.h. ein schweres Verschulden, bei fahrlässiger Begehung grobe Fahrlässigkeit (BGE 131 IV 133 E. 3.2; Urteil BGer 1C_50/2017 vom 16. Mai 2017 E. 4.1 mit Hinweis).</w:t>
      </w:r>
    </w:p>
    <w:p>
      <w:r>
        <w:rPr>
          <w:b/>
        </w:rPr>
        <w:t>E. 3.3</w:t>
      </w:r>
    </w:p>
    <w:p>
      <w:r>
        <w:t>Nach Art. 34 Abs. 4 SVG ist gegenüber allen Strassenbenützern ein ausreichender Abstand zu wahren, namentlich beim Kreuzen und Überholen sowie beim Neben- und Hintereinan- derfahren. Der Fahrzeugführer hat beim Hintereinanderfahren einen ausreichenden Abstand zu wahren, so dass er auch bei überraschendem Bremsen des voranfahrenden Fahrzeugs rechtzeitig halten kann (Art. 12 Abs. 1 der Verkehrsregelnverordnung vom 13. November 1962 [VRV; SR 741.11]). Was unter einem "ausreichenden Abstand" im Sinne von Art. 34 Abs. 4 SVG zu verste- 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Urteil BGer 1C_442/2017 vom 26. April 2018 E. 2.2). Diese Distanz entspricht ungefähr der Anhaltestrecke bei plötzlichem ordnungsgemässem Bremsen und Anhalten des vorausfahren- den Personenwagens (BGE 104 104 IV 192 E. 2b). Für die Beurteilung, ob eine grobe Verkehrsre- gelverletzung im Sinne von Art. 90 Abs. 2 SVG anzunehmen ist, wird als Richtschnur die Regel "1/6-Tacho" bzw. Abstand von 0,6 Sekunden herangezogen (BGE 131 IV 133 E. 3.2.2; Urteil BGer 6B_1030/2010 vom 22. März 2011 E. 3.3.2 mit Hinweisen). Eine erhöhte abstrakte Gefahr liegt bspw. vor, wenn ein Fahrzeuglenker bei günstigen Strassen-, Verkehrs- und Sichtverhältnissen dem Vorderfahrzeug auf dem Überholstreifen einer Autobahn mit einer Geschwindigkeit von 112 km/h auf einer gemessenen Strecke von rund 400 m mit einem zeitlichen Abstand von 0,57 Sekunden folgt (Urteil BGer 1C_746/2013 vom 12. Dezember 2013 E. 2.5).</w:t>
      </w:r>
    </w:p>
    <w:p>
      <w:r>
        <w:rPr>
          <w:b/>
        </w:rPr>
        <w:t>E. 3.4</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 me von den tatsächlichen Feststellungen des Strafrichters nur abweichen darf, wenn sie Tatsa- chen feststellt und ihrem Entscheid zugrunde legt, die dem Strafrichter unbekannt waren, wenn sie zusätzliche Beweise erhebt oder wenn der Strafrichter bei der Rechtsanwendung auf den Sachver- halt nicht alle Rechtsfragen abgeklärt, namentlich die Verletzung bestimmter Verkehrsregeln über- 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 ten persönlich einvernommen hat (BGE 136 II 447 E. 3.1; 124 II 103 E. 1c/aa und bb). Auch in diesem Zusammenhang hat er jedoch den eingangs genannten Grundsatz (Vermeiden wider-</w:t>
      </w:r>
    </w:p>
    <w:p>
      <w:r>
        <w:t>Kantonsgericht KG Seite 5 von 7 sprüchlicher Urteile) gebührend zu berücksichtigen (Urteil BGer 1C_424/2012 vom 14. Januar 2013 E. 2.3).</w:t>
      </w:r>
    </w:p>
    <w:p>
      <w:r>
        <w:rPr>
          <w:b/>
        </w:rPr>
        <w:t>E. 4.1</w:t>
      </w:r>
    </w:p>
    <w:p>
      <w:r>
        <w:t>Gemäss rechtskräftigem Strafbefehl vom 26. April 2021 fuhr der Beschwerdeführer auf der Autobahn bei einer Geschwindigkeit von 121 km/h über eine Strecke von 1190 m mit einem Sicherheitsabstand von bloss 0,56 Sekunden. Das Gericht stützt sich vorliegend auf den Sachver- halt des rechtskräftigen Strafbefehls, der erstaunlicherweise von der Vorinstanz nicht wie üblich zu den Akten gereicht wurde, dem Gericht jedoch von Seiten des Beschwerdeführers zugänglich gemacht wurde. Gestützt auf diesen Sachverhalt hat der Beschwerdeführer, wenn auch knapp, die erwähnte Tacho-Regel bzw. Abstand von 0,6 Sekunden verletzt. Auf der Autobahn herrschte – wie sich insbesondere aus den im Dossier befindlichen Fotos ergibt – dichter Verkehr; zudem sind die Geschwindigkeiten auf der Autobahn hoch. Für die Unterschreitung des Sicherheitsabstands war allein der Beschwerdeführer verantwortlich. Der Beschwerdeführer hat damit objektiv eine für die Sicherheit zentrale Verkehrsregel – nämlich die Einhaltung eines genügenden Abstandes im Sinne der Regel "halber Tacho bzw. 2 Sekunden" – in grober Weise verletzt und dadurch die Verkehrssi- cherheit unmittelbar ernsthaft gefährdet. So ist nach der Rechtsprechung grundsätzlich von einer objektiv groben Verletzung der Verkehrs- regeln auf ein zumindest grobfahrlässiges Verhalten zu schliessen. Die Rücksichtslosigkeit ist ausnahmsweise zu verneinen, wenn besondere Umstände vorliegen, die das Verhalten subjektiv in einem milderen Licht erscheinen lassen (siehe Urteil BGer 1C_26/2018 vom 16. Juni 2018 E. 5.2 mit Hinweis auf Urteil BGer 6B_1004/2016 vom 14. März 2017 E. 3.2). Entsprechende Anhaltspunkte sind jedoch nicht ersichtlich und werden überdies auch nicht geltend gemacht.</w:t>
      </w:r>
    </w:p>
    <w:p>
      <w:r>
        <w:rPr>
          <w:b/>
        </w:rPr>
        <w:t>E. 4.2</w:t>
      </w:r>
    </w:p>
    <w:p>
      <w:r>
        <w:t>Der Beschwerdeführer wirft der Vorinstanz vor, sie habe den Grundsatz der Einheit der Rechtsordnung verletzt, weil sie von der strafrechtlichen Beurteilung abgewichen sei, welche den Vorfall lediglich als einfache Verkehrsregelverletzung qualifiziert habe. Die Vorinstanz ist jedoch vom gleichen Sachverhalt ausgegangen wie die Staatsanwaltschaft, sie hat diesen lediglich anders gewürdigt. Dazu ist sie auch unter dem Gesichtspunkt der Einheit der Rechtsordnung befugt. Diesbezüglich ist festzuhalten, dass – entgegen der Ansicht des Beschwerdeführers – eine strafrechtliche Qualifikation einer Verkehrsregelverletzung als "leicht" im Sinne von Art. 90 Abs. 1 SVG nicht bedeutet, dass die Widerhandlung im verwaltungsrechtlichen Verfahren ebenfalls als "leicht" im Sinne von Art. 16a SVG qualifiziert wird. Auch hat das Kantonsgericht Freiburg in seiner Praxis bereits mehrfach festgehalten, dass bei einem Nachfahrabstand von weniger als 0,6 Sekun- den auch dann von einer schweren Widerhandlung auszugehen ist, wenn die beschwerdeführende Person im Strafverfahren "lediglich" für eine einfache Verkehrsregelverletzung im Sinne von Art. 90 Abs. 1 SVG verurteilt worden ist (siehe z.B. Urteile KG FR 603 2019 96 vom 30. September 2019; 603 2020 26 vom 26. Mai 2020). Die Rüge geht daher fehl. Auch ist zu berücksichtigen, dass nach der Praxis des Bundesgerichts bei einem Sicherheitsabstand zum vorausfahrenden Fahrzeug von bloss 0,56 Sekunden in der Regel von einer groben Verkehrsregelverletzung auszugehen ist, sofern nicht besondere entlastende Umstände vorliegen (siehe Urteil BGer 1C_250/2017 vom</w:t>
      </w:r>
    </w:p>
    <w:p>
      <w:r>
        <w:rPr>
          <w:b/>
        </w:rPr>
        <w:t>E. 4.3</w:t>
      </w:r>
    </w:p>
    <w:p>
      <w:r>
        <w:t>Damit ist die Vorinstanz zu Recht davon ausgegangen, dass der Beschwerdeführer eine schwere Widerhandlung im Sinne von Art. 16c Abs. 1 lit. a SVG begangen hat. 5. 5.1. Schliesslich sind für die Dauer des Führerausweisentzuges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auch BGE 132 II 234 E. 2.3). Nach einer schweren Widerhandlung ist der Führerausweis gemäss Art. 16c Abs. 2 lit. a SVG für mindestens drei Monate zu entziehen. 5.2. Die Vorinstanz hat dem Beschwerdeführer mit der angefochtenen Verfügung den Führer- ausweis für die gesetzlich vorgeschriebene Mindestdauer entzogen. Die verfügte Entzugsdauer von drei Monaten ist damit nicht zu beanstanden und darf – obwohl der Beschwerdeführer nament- lich einen guten Leumund besitzt – gemäss dem Gesetz nicht unterschritten werden. 6. Im Ergebnis erweist sich folglich der von der Vorinstanz verfügte Warnungsentzug des Führeraus- weises für die Dauer von drei Monaten als gerechtfertigt. Die Beschwerde ist somit abzuweisen und die Verfügung der Vorinstanz vom 27. Mai 2021 ist zu bestätigen.</w:t>
      </w:r>
    </w:p>
    <w:p>
      <w:r>
        <w:rPr>
          <w:b/>
        </w:rPr>
        <w:t>E. 7</w:t>
      </w:r>
    </w:p>
    <w:p>
      <w:r>
        <w:t>September 2017 E. 3.2 f.); im Strafbefehl wurde die hiervon abweichende Qualifikation nicht begründet. Schliesslich kann der Beschwerdeführer aus seinem Argument, dass die Praxis der Kantone dies- bezüglich unterschiedlich sei, auch nichts zu seinen Gunsten ableiten, da die Vorinstanz die</w:t>
      </w:r>
    </w:p>
    <w:p>
      <w:r>
        <w:t>Kantonsgericht KG Seite 6 von 7 Regeln des Strassenverkehrsgesetzes (Bundesrecht) wie dargelegt in Übereinstimmung mit der bundesgerichtlichen Rechtsprechung angewandt hat.</w:t>
      </w:r>
    </w:p>
    <w:p>
      <w:r>
        <w:rPr>
          <w:b/>
        </w:rPr>
        <w:t>E. 7.1</w:t>
      </w:r>
    </w:p>
    <w:p>
      <w:r>
        <w:t>Die Gerichtskosten, die auf CHF 600.-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w:t>
      </w:r>
    </w:p>
    <w:p>
      <w:r>
        <w:rPr>
          <w:b/>
        </w:rPr>
        <w:t>E. 7.2</w:t>
      </w:r>
    </w:p>
    <w:p>
      <w:r>
        <w:t>Eine Parteientschädigung ist nicht geschuldet (Art. 137 Abs. 1 VRG). (Dispositiv auf der nächsten Seite)</w:t>
      </w:r>
    </w:p>
    <w:p>
      <w:r>
        <w:t>Kantonsgericht KG Seite 7 von 7 Der Hof erkennt: I. Die Beschwerde wird abgewiesen. II. Die Gerichtskosten in Höhe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August 2021/yho/sco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