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62 vom 9. Juni 2021</w:t>
      </w:r>
    </w:p>
    <w:p>
      <w:r>
        <w:t>FR Kantonsgericht, 2021-06-09, FR</w:t>
      </w:r>
    </w:p>
    <w:p>
      <w:r>
        <w:rPr>
          <w:b/>
        </w:rPr>
        <w:t xml:space="preserve">Quelle: </w:t>
      </w:r>
      <w:r>
        <w:t>https://mcp.opencaselaw.ch/entscheid/fr_gerichte_603_2021_62</w:t>
      </w:r>
    </w:p>
    <w:p>
      <w:r>
        <w:t>FR: FR_GERICHTE 603 2021 62 du 9 juin 2021</w:t>
      </w:r>
    </w:p>
    <w:p>
      <w:r>
        <w:t>IT: FR_GERICHTE 603 2021 62 del 9 giugno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30 al. 1 let. a et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la sanction pénale ne se superposent pas: les art. 16 ss LCR s'appuient sur la mise en danger objective de la circulation. La sanction est une mesure d'admonestation ou de sécurité. En revanche, les dispositions pénales des art. 90 et 91 LCR mettent l'accent sur la faute du conducteur et exigent une appréciation du</w:t>
      </w:r>
    </w:p>
    <w:p>
      <w:r>
        <w:t>Tribunal cantonal TC Page 4 de 8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En l'espèce, le Juge pénal a retenu ce qui suit: le recourant circulait au volant d'un véhicule automobile de B.________ en direction de C.________ lorsqu'il a rattrapé un autre véhicule qui roulait à une vitesse de 70-75 km/h. Peu avant le virage à gauche à l'entrée de C.________, le prévenu a entrepris une manœuvre de dépassement. Alors qu'il était encore en train de doubler, un véhicule de patrouille de la police s'est approché sur la chaussée opposée et a dû freiner légèrement pour laisser au prévenu le temps de revenir sur sa voie après la manœuvre de dépassement. Celui-ci n'aurait pas dû effectuer ce dépassement dans les circonstances de l'espèce, parce qu'il ne pouvait pas voir suffisamment loin si un véhicule arrivait en sens inverse et ne pouvait ainsi pas être sûr qu'il ne gênerait pas d'autres usagers de la route. Non contesté, ce jugement est entré en force. Si le recourant entendait critiquer les faits précités, il aurait dû faire valoir ses arguments dans le cadre de la procédure pénale. Il faut dès lors considérer comme établi que le recourant a effectué un dépassement sans égard aux autres usagers et qu'il a gêné des automobilistes circulant en sens inverse.</w:t>
      </w:r>
    </w:p>
    <w:p>
      <w:r>
        <w:rPr>
          <w:b/>
        </w:rPr>
        <w:t>E. 3</w:t>
      </w:r>
    </w:p>
    <w:p>
      <w:r>
        <w:t>Aux termes de l'art. 35 al. 2 LCR,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Il n'est en l'espèce pas contesté que le recourant a enfreint la règle précitée et que ce comportement devait entraîner le prononcé d'une mesure administrative.</w:t>
      </w:r>
    </w:p>
    <w:p>
      <w:r>
        <w:t>Tribunal cantonal TC Page 5 de 8</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L'infraction sanctionnée par l'art. 16c al. 1 let. a LCR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w:t>
      </w:r>
    </w:p>
    <w:p>
      <w:r>
        <w:t>Tribunal cantonal TC Page 6 de 8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4.2</w:t>
      </w:r>
    </w:p>
    <w:p>
      <w:r>
        <w:t>Les règles concernant les dépassements ont pour but de minimiser les risques qui leur sont liés. Elles sont donc des dispositions importantes pour assurer la sécurité routière (cf. arrêt TF 6S.128/2004 du 15 juin 2004 consid. 2; ATF 129 IV 155 consid. 3.2.1; 121 IV 235 consid. 1b-1c). En l'occurrence, la manœuvre de dépassement a été effectuée délibérément dans une situation où, comme l'a retenu le Juge pénal, le recourant ne pouvait pas voir suffisamment loin si un véhicule arrivait en sens inverse et ne pouvait ainsi pas être sûr qu'il ne gênerait pas d'autres usagers de la route. La faute commise par le recourant ne peut ainsi à l'évidence pas être considérée comme légère, ce qu'il ne prétend du reste pas. En outre, si elle n'a pas été à l'origine d'une mise en danger concrète de la circulation, elle a à tout le moins entraîné une mise en danger abstraite. Le fait que d'autres automobilistes n'aient pas subi de dommages – heureusement – relève du cas fortuit et ne saurait par conséquent profiter au recourant. Cela étant, il n'y a pas lieu de s'écarter de l'appréciation du Juge pénal et la décision de la CMA ne peut pas être confirmée. En effet, la faute grave correspond en principe à la définition de l'infraction réprimée sur le plan pénal par l'art. 90 al. 2 LCR (MIZEL, p. 395). Le Tribunal fédéral tient les notions de violation grave des règles de la circulation routière selon l'art. 90 al. 2 LCR et de faute grave au sens de l'art. 16c LCR pour identiques à tous les égards (cf. ATF 120 Ib 285). Or, l'ordonnance pénale n'a pas repris le contenu du rapport de police – qui est contesté par le recourant – ni même fait mention de ce dernier et le recourant n'a pas été sanctionné en application de l'art. 90 al. 2 LCR. Il en résulte qu'il n'avait pas de raison de contester cette décision pénale, dès lors qu'il pouvait partir de l'idée que les éléments aggravants de son comportement ressortant du rapport de police (nécessité d'un freinage important de la voiture de police pour réduire la vitesse d'environ 70 km/h à 30 km/h et d'un écart préventif sur la droite de la chaussée) – n'avaient pas été retenus par le Juge pénal, qui a considéré être en présence d'une violation simple des règles de la circulation routière. Certes, si la CMA n'est pas liée par la qualification de la faute, elle doit néanmoins en principe s'en tenir aux faits retenus dans le jugement pénal. Or, comme relevé ci-dessus, les circonstances de fait telles que ressortant du rapport de police n'ont pas été reprises dans l'ordonnance pénale. En particulier, celle-ci retient que la voiture de police arrivant en sens inverse a dû légèrement freiné en raison du dépassement effectué par le recourant et non pas qu'elle a dû opérer un freinage important pour réduire sa vitesse de 70 km/h à 30 km/h comme cela ressort du rapport de police. Or, plus particulièrement en l'absence d'autres infractions aux règles de la circulation routière, ce sont pourtant précisément ces éléments qui permettent de qualifier la faute de grave ou de moyenne (cf. exemples de cas de dépassement ayant été considérés comme des infractions moyennement graves: arrêts TF 1C_470/2019 du 31 janvier 2020; 1C_259/2011 du 27 septembre 2011; TC FR 603 2018 40 du 8 juin 2018; 603 2013 330 du 24 janvier 2014; exemples de cas de dépassement ayant été considérés comme des infractions graves: arrêts TC FR 603 2020 154 du 10 février 2021; 603 2016 155 du 8 novembre 2017). La CMA n'a pas jugé utile de procéder à des mesures d'instruction, ce qu'elle aurait pu et dû faire si elle entendait se distancier de l'appréciation du Juge pénal (ATF 136 II 447 consid. 3.1; 124 II 103 consid. 1c/aa), dont le contenu du dossier est en outre</w:t>
      </w:r>
    </w:p>
    <w:p>
      <w:r>
        <w:t>Tribunal cantonal TC Page 7 de 8 plus complet (notamment enregistrement vidéo "Sat-Speed" de la police cantonale bernoise et procès-verbal d'audition du conducteur devancé par le recourant) que celui de la CMA. Sur le vu de ce qui précède, la faute commise par le recourant doit dès lors être qualifiée de moyennement grave, au sens de l'art. 16b al. 1 let. a LCR, comme l'a retenu le Juge pénal.</w:t>
      </w:r>
    </w:p>
    <w:p>
      <w:r>
        <w:rPr>
          <w:b/>
        </w:rPr>
        <w:t>E. 5</w:t>
      </w:r>
    </w:p>
    <w:p>
      <w:r>
        <w:t>Selon l'art. 98 al. 2 CPJA, en cas d'annulation, la Cour de céans statue elle-même sur l'affaire ou la renvoie à l'autorité inférieure, s'il y a lieu avec des instructions impératives. Le dossier étant complet, la Cour de céans retient la cause pour jugement.</w:t>
      </w:r>
    </w:p>
    <w:p>
      <w:r>
        <w:rPr>
          <w:b/>
        </w:rPr>
        <w:t>E. 5.1</w:t>
      </w:r>
    </w:p>
    <w:p>
      <w:r>
        <w:t>Aux termes de l'art. 16b al. 2 let. a LCR, après une infraction moyennement grave, le permis d'élève conducteur ou le permis de conduire est retiré pour un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p. 4131; ATF 132 II 234 consid. 2.3).</w:t>
      </w:r>
    </w:p>
    <w:p>
      <w:r>
        <w:rPr>
          <w:b/>
        </w:rPr>
        <w:t>E. 5.2</w:t>
      </w:r>
    </w:p>
    <w:p>
      <w:r>
        <w:t>Vu les circonstances du cas, il convient en l'espèce de s'en tenir à la durée légale minimale du retrait – à l'instar de la CMA dans sa décision – prévue par l'art. 16b al. 2 let. a LCR, soit à un mois. Cette sanction apparaît manifestement apte à réaliser l'objectif préventif et éducatif du retrait d'admonestation, visé par le législateur.</w:t>
      </w:r>
    </w:p>
    <w:p>
      <w:r>
        <w:rPr>
          <w:b/>
        </w:rPr>
        <w:t>E. 6.1</w:t>
      </w:r>
    </w:p>
    <w:p>
      <w:r>
        <w:t>Pour l'ensemble des motifs qui précèdent, le recours doit être admis et la décision de la CMA modifiée en ce sens que le permis de conduire du recourant lui est retiré pour la durée d'un mois en raison de la commission d'une infraction moyennement grave.</w:t>
      </w:r>
    </w:p>
    <w:p>
      <w:r>
        <w:rPr>
          <w:b/>
        </w:rPr>
        <w:t>E. 6.2</w:t>
      </w:r>
    </w:p>
    <w:p>
      <w:r>
        <w:t>Vu l'issue du recours, il n'est pas perçu de frais de procédure (art. 133 CPJA). L'avance de frais versée par le recourant lui est restituée. Ayant obtenu gain de cause, le recourant a droit à une indemnité de partie qu'il convient de fixer de manière globale, en application de l'art. 11 al. 3 du tarif fribourgeois du 17 décembre 1991 des frais de procédure et des indemnités en matière de juridiction administrative (RSF 150.12), à CHF 1'400.- (honoraires et débours compris), plus CHF 107.80 au titre de la TVA, soit à CHF 1'507.80, à la charge de la CMA qui succombe.</w:t>
      </w:r>
    </w:p>
    <w:p>
      <w:r>
        <w:t>Tribunal cantonal TC Page 8 de 8 la Cour arrête : I. Le recours est admis. Partant, la décision de la CMA du 3 mars 2021 est réformée en ce sens que le permis de conduire de A.________ lui est retiré pour la durée minimale légale d'un mois en raison de la commission d'une infraction moyennement grave. II. Il n'est pas perçu de frais de procédure. L'avance de frais versée, soit CHF 600.-, est restituée au recourant. III. Une indemnité de partie globale de CHF 1'400.- (débours compris), plus CHF 107.80 au titre de la TVA, soit un total de CHF 1'507.80, est allouée à Me Christophe Sansonnens. Elle est mise à la charge de la CMA. IV. Notification. Le présent arrêt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9 juin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