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61 vom 9. August 2021</w:t>
      </w:r>
    </w:p>
    <w:p>
      <w:r>
        <w:t>FR Kantonsgericht, 2021-08-09, FR</w:t>
      </w:r>
    </w:p>
    <w:p>
      <w:r>
        <w:rPr>
          <w:b/>
        </w:rPr>
        <w:t xml:space="preserve">Quelle: </w:t>
      </w:r>
      <w:r>
        <w:t>https://mcp.opencaselaw.ch/entscheid/fr_gerichte_603_2021_61</w:t>
      </w:r>
    </w:p>
    <w:p>
      <w:r>
        <w:t>FR: FR_GERICHTE 603 2021 61 du 9 août 2021</w:t>
      </w:r>
    </w:p>
    <w:p>
      <w:r>
        <w:t>IT: FR_GERICHTE 603 2021 61 del 9 agosto 2021</w:t>
      </w:r>
    </w:p>
    <w:p>
      <w:pPr>
        <w:pStyle w:val="Heading2"/>
      </w:pPr>
      <w:r>
        <w:t>Regeste</w:t>
      </w:r>
    </w:p>
    <w:p>
      <w:r>
        <w:t>Arrêt de la IIIe Cour administrative du Tribunal cantonal | Strassenverkehr und Transportwesen</w:t>
      </w:r>
    </w:p>
    <w:p>
      <w:pPr>
        <w:pStyle w:val="Heading2"/>
      </w:pPr>
      <w:r>
        <w:t>Erwägungen</w:t>
      </w:r>
    </w:p>
    <w:p>
      <w:r>
        <w:rPr>
          <w:b/>
        </w:rPr>
        <w:t>E. 19</w:t>
      </w:r>
    </w:p>
    <w:p>
      <w:r>
        <w:t>janvier 2017) et d'un retrait de permis d'un mois pour faute légère (décision du 22 août 2018). C. Par mémoire du 22 avril 2021, A.________ recourt contre cette décision auprès du Tribunal cantonal en concluant, sous suite de frais et dépens, principalement, à un retrait de la durée d'un mois pour infractions légères, subsidiairement, à un retrait de la durée de six mois pour infractions légère (conduite avec alcool) et moyennement grave (perte de maîtrise). Encore plus subsidiairement, il conclut au renvoi de la cause à la CMA pour nouvelle décision. A l'appui de ses conclusions, l'intéressé relève l'absence de dommage suite à sa sortie de route. Il souligne également que son taux d'alcoolémie, de 0.61 g/l [recte: g ‰], n'est pas qualifié et que sa conduite en état d'ébriété consistait dès lors en une infraction légère au sens de l'art. 16a al. 4 LCR. En outre, il précise que l'accident a eu lieu sur un tronçon de route secondaire avec une visibilité parfaite, sans trottoirs ou pistes cyclables, alors que la circulation était quasi-inexistante, les conditions météorologiques extraordinairement bonnes, le tablier de la route étant toutefois inégal. Il précise enfin qu'il conduisait ce véhicule, puissant, pour la première fois. Partant, la perte de maîtrise doit</w:t>
      </w:r>
    </w:p>
    <w:p>
      <w:r>
        <w:t>Tribunal cantonal TC Page 3 de 8 être qualifiée d'infraction légère. Le recourant semble par ailleurs contester la violation grave retenue par le juge pénal en application de l'art. 90 al. 2 CP, tout en se réclamant plus loin des faits retenus par ce dernier. Toutefois, il fait valoir que les deux infractions, cumulées, constituent une infraction moyennement grave au sens de l'art. 16b al. 1 let. b LCR mais réclame, contre toute attente, l'application de l'art. 16c al. 2 let. b LCR, tout en contestant formellement celle de l'art. 16c al. 2 let. e [recte: d] LCR. D. Dans ses observations du 11 juin 2021, la CMA conclut au rejet du recours, en se référant à sa décision ainsi qu'aux pièces du dossier et, en particulier, à l'ordonnance pénale du 28 décembre 2020. Aucun autre échange d'écritures n'a été ordonné entre les parties. Il sera fait état des arguments, développés par les parties à l’appui de leurs conclusions, dans les considérants de droit du présent arrêt, pour autant que cela soit utile à la solution du litige. en droit 1. 1.1. Interjeté dans le délai et les formes prescrits (79 ss du code cantonal du 23 mai 1991 de procédure et de juridiction administrative, CPJA ; RSF 150.1) - l'avance des frais de procédure ayant par ailleurs été versée en temps utile - le recours est recevable à la forme. La Cour de céans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 2. 2.1.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références citées). S'agissant de questions purement juridiques, comme celle de la gravité de la faute, l'autorité administrative n'est pas liée par l'appréciation du juge pénal (cf. ATF 124 II consid. 3c/aa; 115 Ib 163 consid. 2a),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w:t>
      </w:r>
    </w:p>
    <w:p>
      <w:r>
        <w:t>Tribunal cantonal TC Page 4 de 8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136 II 447, consid. 3.1; 120 Ib 312 consid. 4b).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2.2. En l'espèce, le Ministère public du canton de Berne a retenu que le recourant a, par une manœuvre de conduite manifestement irrégulière et imprudente, créé à tout le moins un danger abstrait accru de collision et de blessures pour les autres usagers de la route en accélérant délibérément et de manière grossièrement négligente alors que de nombreuses personnes, notamment en skateboard, se trouvaient à proximité. L'ordonnance pénale retient également qu'au moment des faits, le taux d'alcoolémie du recourant s'élevait à au moins 0.61 g ‰. Non contestée, l’ordonnance pénale est entrée en force. Rien ne justifie de se distancier des faits retenus sur le plan pénal. Ceux-ci doivent dès lors être tenus pour établis. En particulier, s'il entendait faire valoir sa propre version des faits, notamment quant aux usagers de la route et aux personnes à proximité, l'intéressé devait se défendre au niveau pénal, ce à quoi il a renoncé, alors même qu'il en a été informé par le biais de l'avis d'ouverture de procédure. 3. 3.1. Selon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La maîtrise de la direction fait partie de la maîtrise du véhicule au sens large. Ainsi, tout conducteur doit "tenir sa voie", c’est-à-dire ne pas dévier de la trajectoire suivie jusqu’alors sans certaines précautions (cf. ATF 63 II 221 / JdT 1937 I 460; BUSSY/RUSCONI, art. 31 LCR n. 2.5).</w:t>
      </w:r>
    </w:p>
    <w:p>
      <w:r>
        <w:t>Tribunal cantonal TC Page 5 de 8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 3.2. En l’espèce, à l'évidence, le recourant circulait à une vitesse inadaptée à l'état de la route, à sa connaissance du véhicule et à son état personnel, puisqu'il en a perdu la maîtrise et est sorti de la route. Ce faisant, il a enfreint les dispositions précitées. 4. 4.1.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w:t>
      </w:r>
    </w:p>
    <w:p>
      <w:r>
        <w:t>Tribunal cantonal TC Page 6 de 8 de la qualifier de grave ne sont pas réunis. Tel est par exemple le cas lorsque la faute est grave et la mise en danger bénigne ou, inversement, si la faute est légère et la mise en danger grave (arrêt TF 6A.16/2006 du 6 avril 2006 consid. 2.1.1 et les références citées).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126 II 358 consid. 1b et les références citées);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 4.2. Dans le cas d'espèce, le recourant circulait au volant d'un véhicule puissant qu'il conduisait pour la première fois, alors qu'il était en état d'ébriété et que de nombreuses personnes se trouvaient à proximité, notamment sur des skateboards. Il a alors accéléré fortement sur une distance d'environ 90 mètres, ce qui a causé la perte de maîtrise du véhicule, laquelle a eu pour conséquence un dérapage incontrôlé sur 32 mètres se terminant dans un champ adjacent. Au vu de ce qui précède, le recourant a sérieusement mis en danger la sécurité des personnes se trouvant à proximité ou en a, à tout le moins, pris le risque, l'absence de blessés ou d'autres véhicules impliqués dans l'accident relevant du cas fortuit, ce qui ne saurait lui profiter. En outre, il a agi de manière grossièrement négligente, comme l'a d'ailleurs relevé le juge pénal, en accélérant volontairement de la sorte, alors qu'il conduisait ce véhicule puissant pour la première fois, qui plus est sous l'influence de l'alcool. Force est dès lors d'admettre que la faute commise est grave et que la mise en danger qui en est résulté a créé un danger sérieux et imminent pour autrui. C'est ainsi à bon droit que la CMA a qualifié de grave l'infraction reprochée au recourant. Ce faisant, elle n'a pas commis d'excès ou d'abus de son pouvoir d'appréciation. Le Ministère public du canton de Berne a du reste également considéré que le recourant s'était rendu coupable d'une violation grave des règles de la circulation routière (art. 90 al. 2 LCR) dans son ordonnance pénale du 28 décembre 2020. 5. 5.1. Selon l'art. 16c al. 2 let. d LCR, le permis d'élève conducteur ou le permis de conduire est retiré après une infraction grave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Tribunal cantonal TC Page 7 de 8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 5.2. En l'occurrence, il faut constater que le recourant a déjà subi des retraits de permis à deux reprises pour des infractions graves à la LCR dans les dix dernières années, le 3 septembre 2015 ainsi que le 19 janvier 2017 (3 mois et 12 mois). Il a également dû déposer son permis durant un mois par décision du 22 août 2018 pour infraction légère à la LCR, retrait exécuté jusqu'au 21 mars 2019. La nouvelle infraction ayant été commise le 11 avril 2020, soit moins de cinq ans après l'exécution du précédent retrait, la CMA se devait de faire application de l'art. 16c al. 2 let. d LCR qui impose un retrait de permis d'une durée indéterminée mais de deux années au minimum. Cette durée minimum ne peut être réduite, pour quelque raison que ce soit (cf. ATF 132 II 234 consid. 2.3). Enfin, dans ces circonstances, le grief du recourant selon lequel son état d'ébriété consiste en une infraction légère à la LCR demeure sans incidence sur la mesure (de sécurité) prononcée. Cela étant, force est de considérer, à la lecture de la décision querellée, que c'est pourtant bien ainsi que la CMA l'a qualifiée, au vu de la disposition citée dans sa décision (art. 16a al. 1 let. b LCR), contrairement à ce qu'affirme l'intéressé. 5.3. Sur le vu de ce qui précède, la CMA n'a manifestement pas violé la loi, ni commis un abus ou un excès de son pouvoir d'appréciation en prononçant à l'endroit du recourant un retrait du permis de conduire d'une durée indéterminée mais de deux ans au minimum. Sa décision doit dès lors être confirmée et le recours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(Tarif JA; RSF 150.12). Pour le même motif, il n'est pas alloué d'indemnité de partie. (dispositif sur la page suivante)</w:t>
      </w:r>
    </w:p>
    <w:p>
      <w:r>
        <w:t>Tribunal cantonal TC Page 8 de 8 la Cour arrête : I. Le recours est rejeté. II. Les frais de procédure par CHF 600.- sont mis à la charge de A.________.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août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