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38 vom 13. Dezember 2021</w:t>
      </w:r>
    </w:p>
    <w:p>
      <w:r>
        <w:t>FR Kantonsgericht, 2021-12-13, FR</w:t>
      </w:r>
    </w:p>
    <w:p>
      <w:r>
        <w:rPr>
          <w:b/>
        </w:rPr>
        <w:t xml:space="preserve">Quelle: </w:t>
      </w:r>
      <w:r>
        <w:t>https://mcp.opencaselaw.ch/entscheid/fr_gerichte_603_2021_38</w:t>
      </w:r>
    </w:p>
    <w:p>
      <w:r>
        <w:t>FR: FR_GERICHTE 603 2021 38 du 13 décembre 2021</w:t>
      </w:r>
    </w:p>
    <w:p>
      <w:r>
        <w:t>IT: FR_GERICHTE 603 2021 38 del 13 dicembre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cantonal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citées). En raison du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(cf.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(cf. ATF 123 II 97 consid. 3c/aa; 121 II 214 consid. 3a; arrêt TF 6A.82/2006 du 27 décembre 2006 consid. 2.1; arrêts TC FR 603 2016 24+37 du 15 avril 2016 consid. 2a et 603 2016 74 du 2 août 2016 consid. 2). S’agissant de questions purement juridiques, comme celle de la gravité de la faute, l’autorité administrative n’est pas liée par l’appréciation du juge pénal (cf. ATF 124 II 8 consid. 3d/aa; 115 Ib 163 consid. 2a; arrêt TA FR 3A 2006 144 du 23 janvier 2007 consid. 6a) car elle risquerait, sans cela, d’être entravée dans sa liberté d’appréciation.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(cf. ATF 136 II 447 consid. 3.1;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(cf. ATF 120 Ib 312 consid. 4b; 119 Ib 158 consid. 3c; arrêt TC FR 603 2019 70 consid. 2.1).</w:t>
      </w:r>
    </w:p>
    <w:p>
      <w:r>
        <w:t>Tribunal cantonal TC Page 4 de 9</w:t>
      </w:r>
    </w:p>
    <w:p>
      <w:r>
        <w:rPr>
          <w:b/>
        </w:rPr>
        <w:t>E. 2.2</w:t>
      </w:r>
    </w:p>
    <w:p>
      <w:r>
        <w:t>En l’espèce, par ordonnance pénale du 4 février 2021, le recourant a été reconnu coupable de circulation à une vitesse inadaptée sur une chaussée mouillée et de perte de maîtrise de son véhicule. Non contestée, cette ordonnance est entrée en force. Pour sa part, la CMA a attendu l'issue de la procédure pénale avant de rendre sa décision du 18 février 2021 et elle s'est fondée sur le même état de fait que celui retenu par l'autorité pénale. Partant, le recourant ne peut plus contester dans le cadre de la procédure administrative les faits établis au terme de la procédure pénale. Du reste, dans le cadre de son recours, il n'a fait valoir aucun élément nouveau qu'il n'eût pu invoquer devant le juge pénal. Il faut dès lors tenir pour établi qu'il a circulé sur une autoroute détrempée à une vitesse inadaptée et qu'il a perdu la maîtrise de son véhicule. Cela étant, alors que le juge pénal a reconnu le recourant coupable de violation simple des règles de la circulation routière, au sens de l’art. 90 al. 1 LCR, la CMA a qualifié de grave l'infraction commise. Il convient d'examiner si, en retenant pour les mêmes faits une qualification juridique plus sévère que celle donnée par le juge pénal, la CMA n'a pas violé le droit, ni commis un excès ou un abus de son vaste pouvoir d'appréciation.</w:t>
      </w:r>
    </w:p>
    <w:p>
      <w:r>
        <w:rPr>
          <w:b/>
        </w:rPr>
        <w:t>E. 3.1</w:t>
      </w:r>
    </w:p>
    <w:p>
      <w:r>
        <w:t>Selon l’art. 31 al. 1 LCR,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(cf. BUSSY/RUSCONI, Code suisse de la circulation routière commenté, 2015, art. 31 LCR n. 2 ss). La maîtrise de la direction fait partie de la maîtrise du véhicule au sens large. Ainsi, tout conducteur doit "tenir sa voie", c’est-à-dire ne pas dévier de la trajectoire suivie jusqu’alors sans certaines précautions (cf. ATF 63 II 221 / JdT 1937 I 460; BUSSY/RUSCONI, art. 31 LCR n. 2.5).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(cf.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(cf. BUSSY/RUSCONI, art. 32 LCR n. 1.2). En particulier, le phénomène d’aquaplaning doit être pris en considération par tous les conducteurs et peut déjà se produire à des vitesses inférieures à 80 km/h (ATF 120 Ib 312 consid. 4c; 103 IV 41 consid. 2a; BUSSY/RUSCONI, art. 32 LCR n.1.6). Un aquaplaning peut être réprimé en vertu de l’art. 32 al 1 LCR, alors même que le conducteur a circulé à une vitesse inférieure à la vitesse</w:t>
      </w:r>
    </w:p>
    <w:p>
      <w:r>
        <w:t>Tribunal cantonal TC Page 5 de 9 prescrite (arrêts TC AG du 19 août 1987, in JdT 1988 I 651, TC ZH du 24 novembre 1992, in SJ 1993 I 578).</w:t>
      </w:r>
    </w:p>
    <w:p>
      <w:r>
        <w:rPr>
          <w:b/>
        </w:rPr>
        <w:t>E. 3.2</w:t>
      </w:r>
    </w:p>
    <w:p>
      <w:r>
        <w:t>En l’espèce, en perdant la maîtrise de son véhicule sur l'autoroute - alors qu'il circulait, selon ses dires, à une vitesse d'environ 100 km/h sur une chaussée mouillée – et en occasionnant de ce fait un accident, le recourant a manifestement enfreint les dispositions précitées, de sorte qu'une mesure administrative devait être prononcée à son endroit, ce que le recourant ne conteste du reste pas.</w:t>
      </w:r>
    </w:p>
    <w:p>
      <w:r>
        <w:rPr>
          <w:b/>
        </w:rPr>
        <w:t>E. 3.3</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et les références citées).</w:t>
      </w:r>
    </w:p>
    <w:p>
      <w:r>
        <w:t>Tribunal cantonal TC Page 6 de 9 Pour déterminer si le cas est de peu de gravité ou de gravité moyenne, l'autorité doit tenir compte de la gravité de la faute commise et de la réputation du contrevenant en tant que conducteur ; la gravité de la mise en danger du trafic n'est prise en considération que dans la mesure où elle est significative pour la faute (cf. ATF 128 II 86 consid. 2c et les références citées). La faute légère correspond à une négligence légère. Un tel cas de figure est par exemple donné lorsque les conditions de circulation sont bonnes, n’inclinant pas un conducteur moyen - c’est-à-dire normalement prudent - à une vigilance particulière, et qu’une infraction n’est que l’enchainement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(cf. MIZEL, Droit et pratique illustrée du retrait du permis de conduire, 2015, p. 340 ss). L'infraction sanctionnée par l'art. 16c al. 1 let. a LCR par contre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La perte de maîtrise d'un véhicule ne constitue pas toujours une infraction grave au sens de l'art. 16c al. 1 let. a LCR; la qualification de la gravité de l’infraction dépend des circonstances du cas d’espèce (ATF 127 II 302).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Les nouvelles dispositions légales sur le retrait du permis de conduire, in RDAF 2004 I 361, p. 367; ATF 127 II 302, arrêt TF 1C_235/2007 du 29 novembre 2007). Cela étant, une conduite qui laisse apparaître un risque élevé de perte de maîtrise, de même que la perte de la maîtrise d’un véhicule, autrement qu’à très faible vitesse, créent une mise en danger abstraite accrue grave, si ce n’est une mise en danger concrète (arrêt TF 6S.186/2002 du 25 juillet 2002 consid. 2.2). Dans ce contexte, il a été jugé qu’une perte de maîtrise due à une conduite inadaptée sur l’autoroute, où la circulation est toujours très rapide, malgré l’attention particulière que requiert le risque d’aquaplaning, constituait une grave mise en danger de la sécurité routière et supposait une faute</w:t>
      </w:r>
    </w:p>
    <w:p>
      <w:r>
        <w:t>Tribunal cantonal TC Page 7 de 9 grave (ATF 120 Ib 312 consid. 4c; arrêt TF 1C_249/2012 du 27 mars 2013 consid. 2.2.5 cf. ég. arrêt TC FR 603 2015 48 du 18 juillet 2016 consid. 4d).</w:t>
      </w:r>
    </w:p>
    <w:p>
      <w:r>
        <w:rPr>
          <w:b/>
        </w:rPr>
        <w:t>E. 3.4</w:t>
      </w:r>
    </w:p>
    <w:p>
      <w:r>
        <w:t>En l'espèce, il ressort du rapport de police que, selon les dires du recourant, ce dernier circulait sur la voie de dépassement de l'autoroute entre Crissier et Fribourg à une vitesse de 100 km/h environ, alors qu'il pleuvait abondamment. En raison d'un aquaplaning, il a perdu la maîtrise de son véhicule, lequel heurta un mur à droite, puis effectua un tour sur lui-même avant de terminer sa course sur la voie de droite, légèrement en travers, l'avant en direction de Lausanne. 3.4.1.À l'évidence, et même si l'on retient la vitesse d'environ 100 km/h déclarée par le recourant - laquelle ne peut cependant pas être établie - force est d'admettre que ce dernier a circulé sur l'autoroute à une vitesse clairement inadaptée aux conditions météorologiques, étant rappelé qu'il est conseillé aux automobilistes de ne pas dépasser les 80 km/h par forte pluie (cf. ATF 120 Ib 312 consid. 4c; 103 IV 41 consid. 2a). En raison de sa vitesse inadaptée aux circonstances, le recourant a totalement perdu la maîtrise de son véhicule lequel, après une embardée, a fini sa course sur la voie de droite, à contre-sens. Pourtant, le risque d’aquaplaning sur l'autoroute, bien connu, commande à tout conducteur prudent et respectueux des règles de la circulation routière d’adapter et même de réduire conséquemment sa vitesse en cas de fortes pluies. Il s'agit là d'une règle élémentaire de prudence dont la violation, nécessairement délibérée, doit être considérée comme grave (cf. arrêt TF 1C_249/2012 du 27 mars 2013 consid. 2.2.5). En l'occurrence, aucune circonstance exceptionnelle n'appelle une appréciation plus clémente. 3.4.2.Par ailleurs, la perte de maîtrise d'un véhicule sur une autoroute détrempée crée toujours un danger sérieux pour autrui. Pour les véhicules qui suivent, ce comportement génère en particulier un danger de collision susceptible d'avoir de graves conséquences pour les occupants (ATF 120 Ib 312 consid. 4c). Dans le cas d'espèce, la faute commise a été à l'origine d'une mise en danger concrète de la circulation, le véhicule du recourant ayant traversé les voies de circulation de gauche à droite avant de percuter le mur droit de l'autoroute pour finalement s'immobiliser sur la voie de droite, de travers et dans le sens opposé à la circulation. Le fait qu'il n'y ait pas eu de blessés ou d'autres véhicules impliqués dans cette embardée relève du pur cas fortuit, qui ne saurait profiter au recourant. 3.4.3.Dès lors que tant la faute que la mise en danger qui en a résulté peuvent être qualifiées de graves, force est de constater que l'autorité intimée n'a pas commis d'excès ou d'abus de son pouvoir d'appréciation en retenant que le recourant avait commis un infraction grave aux règles de la circulation routière. Elle était légitimée, dans ces conditions, à se distancier de l'appréciation plus clémente du juge pénal.</w:t>
      </w:r>
    </w:p>
    <w:p>
      <w:r>
        <w:rPr>
          <w:b/>
        </w:rPr>
        <w:t>E. 4.1</w:t>
      </w:r>
    </w:p>
    <w:p>
      <w:r>
        <w:t>Selon l'art. 16c al. 2 let. c LCR, après une infraction grave, le permis d'élève conducteur ou le permis de conduire est retiré pour six mois au minimum si, au cours des cinq années précédentes, le permis a été retiré une fois en raison d'une infraction moyennement grave. Le point de départ pour le calcul du délai de cinq ans est la fin de l'exécution du précédent retrait (ATF 136 II 447 consid. 5.3; arrêt TF 1C_600/2015 du 1er mars 2016 consid. 3.1).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w:t>
      </w:r>
    </w:p>
    <w:p>
      <w:r>
        <w:t>Tribunal cantonal TC Page 8 de 9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cf. not. arrêt TC FR 603 2016 177 du 30 janvier 2018).</w:t>
      </w:r>
    </w:p>
    <w:p>
      <w:r>
        <w:rPr>
          <w:b/>
        </w:rPr>
        <w:t>E. 4.2</w:t>
      </w:r>
    </w:p>
    <w:p>
      <w:r>
        <w:t>En l'occurrence, le recourant a fait l'objet d'un retrait du permis pour la durée d'un mois, par décision du 29 août 2019, en raison d'une infraction moyennement grave, mesure qu'il a exécutée jusqu'au 30 novembre 2019. L'infraction grave du 19 novembre 2020 a ainsi été commise dans les cinq ans suivant le précédent retrait et devait nécessairement entraîner un retrait d'une durée minimale de six mois (art. 16c al. 2 let. b LCR). Cette durée légale ne peut être réduite, pour quelque raison que ce soit (cf. ATF 132 II 234 consid. 2.3).</w:t>
      </w:r>
    </w:p>
    <w:p>
      <w:r>
        <w:rPr>
          <w:b/>
        </w:rPr>
        <w:t>E. 4.3</w:t>
      </w:r>
    </w:p>
    <w:p>
      <w:r>
        <w:t>L'autorité intimée a cependant fixé à dix mois la durée du retrait du permis du recourant, se distanciant ainsi de quatre mois de la durée minimale légale. Dans son appréciation, elle a notamment tenu compte des mauvais antécédents du recourant comme conducteur de véhicules automobiles. En effet, il ressort du dossier que ce dernier a déjà fait l'objet de plusieurs mesures administratives dont un retrait du permis en 2012 pour une faute légère, puis un retrait préventif du permis en 2013, mesure révoquée par décision du 9 janvier 2014 et remplacée par un retrait d'une durée de 24 mois (délit de chauffard) qu'il a exécuté jusqu'au 30 octobre 2015, puis encore d'un retrait du permis pour la durée d'un mois pour faute moyennement grave (inattention et accident) prononcé le 29 août 2019 et exécuté jusqu'au 30 novembre 2019. Moins d'un an plus tard, le recourant a encore récidivé dans la commission d'infractions aux règles de circulation routière. Ces mauvais antécédents justifiaient que la CMA se distanciât nettement de la durée minimale du retrait. En revanche, le recourant, représentant technico-commercial, ne peut pas invoquer un besoin professionnel de disposer du permis de conduire qui pourrait être pris en considération comme facteur de réduction de la durée du retrait. En effet, la privation de ce document n'interdit pas à l'intéressé tout exercice de son activité lucrative ni n'entraîne pour lui une perte de gain telle ou des frais à ce point considérables que la mesure apparaît manifestement disproportionnée, comme ce serait le cas, par exemple, pour un chauffeur professionnel (cf. arrêt TF 1C_63/2007 du 24 septembre 2007 consid. 4.4). Partant, en fixant à dix mois la durée du retrait, l'autorité intimée n'a pas violé la loi ni commis un quelconque excès ou abus de son pouvoir d'appréciation. Même si la mesure qu'elle a prononcée peut paraître sévère, elle prend en compte dans une juste mesure la gravité de la faute commise</w:t>
      </w:r>
    </w:p>
    <w:p>
      <w:r>
        <w:t>Tribunal cantonal TC Page 9 de 9 moins d'un an après un précédent retrait, ainsi que les mauvais antécédents du recourant comme conducteur de véhicules automobile. Au demeurant, la CMA a rappelé au recourant la teneur de l'art. 17 al. 1 LCR, qui permet la restitution anticipée permis - en l'occurrence au plus tôt trois mois avant la durée prescrite du retrait - lorsque la personne concernée a suivi un des cours d'éducation routière reconnus par l'autorité. Partant, sa décision échappe à la critique.</w:t>
      </w:r>
    </w:p>
    <w:p>
      <w:r>
        <w:rPr>
          <w:b/>
        </w:rPr>
        <w:t>E. 5.1</w:t>
      </w:r>
    </w:p>
    <w:p>
      <w:r>
        <w:t>Pour l'ensemble des motifs qui précèdent, la décision de la CMA doit être confirmée et le recours rejeté.</w:t>
      </w:r>
    </w:p>
    <w:p>
      <w:r>
        <w:rPr>
          <w:b/>
        </w:rPr>
        <w:t>E. 5.2</w:t>
      </w:r>
    </w:p>
    <w:p>
      <w:r>
        <w:t>Vu l'issue du recours, les frais de procédure doivent être mis à la charge du recourant qui succombe (art. 131 CPJA). la Cour arrête : I. Le recours est rejeté. Partant, la décision de la CMA du 18 février 2021 est confirmée.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décembre 2021/mju/ges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