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31 vom 1. April 2021</w:t>
      </w:r>
    </w:p>
    <w:p>
      <w:r>
        <w:t>FR Kantonsgericht, 2021-04-01, DE</w:t>
      </w:r>
    </w:p>
    <w:p>
      <w:r>
        <w:rPr>
          <w:b/>
        </w:rPr>
        <w:t xml:space="preserve">Quelle: </w:t>
      </w:r>
      <w:r>
        <w:t>https://mcp.opencaselaw.ch/entscheid/fr_gerichte_603_2021_31</w:t>
      </w:r>
    </w:p>
    <w:p>
      <w:r>
        <w:t>FR: FR_GERICHTE 603 2021 31 du 1 avril 2021</w:t>
      </w:r>
    </w:p>
    <w:p>
      <w:r>
        <w:t>IT: FR_GERICHTE 603 2021 31 del 1 aprile 2021</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Der Sachverhalt, wie er aus dem Anzeigerapport der Kantonspolizei vom 28. Dezember 2020 hervorgeht, ist klar und wird vom Beschwerdeführer nicht bestritten, weshalb sich das Gericht vorliegend auf diesen stützen wird (vgl. dazu Urteile KG 603 2020 28 E. 3.1; 603 2020 20 E. 3.2 je mit Hinweisen). Es gilt daher als erwiesen, dass der Beschwerdeführer am 16. Dezember 2020 um 18 Uhr mit einer Alkoholkonzentration von 0.69 mg/l Atemluft Auto gefahren ist.</w:t>
      </w:r>
    </w:p>
    <w:p>
      <w:r>
        <w:rPr>
          <w:b/>
        </w:rPr>
        <w:t>E. 4</w:t>
      </w:r>
    </w:p>
    <w:p>
      <w:r>
        <w:t>Vorliegend streitig ist lediglich die verfügte Dauer des Führerausweisentzugs. Es ist folglich zu prüfen, ob die Vorinstanz die Dauer des Führerausweisentzugs zu Recht auf sechs Monate festge- setzt hat.</w:t>
      </w:r>
    </w:p>
    <w:p>
      <w:r>
        <w:rPr>
          <w:b/>
        </w:rPr>
        <w:t>E. 4.1</w:t>
      </w:r>
    </w:p>
    <w:p>
      <w:r>
        <w:t>Das Strassenverkehrsgesetz vom 19. Dezember 1958 (SVG; SR 741.01) unterscheidet zwischen der leichten (Art. 16a SVG), mittelschweren (Art. 16b SVG) und schweren Widerhand- lung (Art. 16c SVG). Laut Art. 16a Abs. 1 lit. b SVG begeht eine leichte Widerhandlung, wer in angetrunkenem Zustand, jedoch nicht mit einer qualifizierten Atemalkohol- oder Blutalkoholkon- zentration nach Art. 55 Abs. 6 SVG ein Motorfahrzeug lenkt und dabei keine andere Widerhand- lung gegen die Strassenverkehrsvorschriften begeht. Eine mittelschwere Widerhandlung begeht, wer in angetrunkenem Zustand, jedoch nicht mit einer qualifizierten Atemalkohol- oder Blutalkohol- konzentration nach Art. 55 Abs. 6 SVG ein Motorfahrzeug lenkt und dabei zusätzlich eine leichte Widerhandlung gegen die Strassenverkehrsvorschriften begeht (Art. 16b Abs. 1 lit. b SVG). Wer in angetrunkenem Zustand mit einer qualifizierten Atemalkohol- oder Blutalkoholkonzentration nach Art. 55 Abs. 6 ein Motorfahrzeug lenkt, begeht gemäss Art. 16c Abs. 1 lit. b SVG eine schwere Widerhandlung.</w:t>
      </w:r>
    </w:p>
    <w:p>
      <w:r>
        <w:t>Kantonsgericht KG Seite 4 von 5 Gestützt auf Art. 55 Abs. 6 SVG wurde in Art. 2 der Verordnung über Alkoholgrenzwerte im Stras- senverkehr vom 15. Juni 2012 (SR 741.13) festgelegt, dass eine Blutalkoholkonzentration von 0.8 Gewichtspromille oder mehr (lit. a), respektive eine Atemalkoholkonzentration von 0.4 mg Alko- hol oder mehr pro Liter Atemluft (lit. b) als qualifizierte Alkoholkonzentration gilt.</w:t>
      </w:r>
    </w:p>
    <w:p>
      <w:r>
        <w:rPr>
          <w:b/>
        </w:rPr>
        <w:t>E. 4.2</w:t>
      </w:r>
    </w:p>
    <w:p>
      <w:r>
        <w:t>Für die Dauer des Führerausweisentzuges nach Art. 16 Abs. 3 SVG sind die Umstände des Einzelfalls zu berücksichtigen, namentlich die Gefährdung der Verkehrssicherheit, das Verschul- den, der Leumund als Motorfahrzeugführer sowie die berufliche Notwendigkeit, ein Motorfahrzeug zu führen. Die Mindestentzugsdauer darf jedoch nicht unterschritten werden (vgl. auch BGE 132 II 234 E. 2.3). Nach einer schweren Widerhandlung ist der Führerausweis gemäss Art. 16c Abs. 2 lit. a SVG für mindestens drei Monate zu entziehen. Wenn in den vorangehenden fünf Jahren der Führeraus- weis bereits einmal wegen einer mittelschweren Widerhandlung entzogen wurde, beträgt die Mindestentzugsdauer gemäss Art. 16c Abs. 2 lit. b sechs Monate.</w:t>
      </w:r>
    </w:p>
    <w:p>
      <w:r>
        <w:rPr>
          <w:b/>
        </w:rPr>
        <w:t>E. 4.3</w:t>
      </w:r>
    </w:p>
    <w:p>
      <w:r>
        <w:t>Im konkreten Fall wurde beim Beschwerdeführer mittels einer Kontrolle mit dem Atemalko- holmessgerät ein Alkoholwert von 0.69 mg/l gemessen, was gemäss der Verordnung über Alkohol- grenzwerte im Strassenverkehr als qualifizierte Alkoholkonzentration gilt. Gemäss Art. 16c Abs. 1 lit. b SVG beging der Beschwerdeführer beim Fahren in diesem Zustand somit eine schwere Widerhandlung. Dem Beschwerdeführer wurde mit Verfügung der Vorinstanz vom 16. März 2020 der Führeraus- weis wegen einer mittelschweren Widerhandlung für einen Monat, vom 27. März 2020 bis zum 26. April 2020, entzogen. Da dieser Zeitpunkt weniger als fünf Jahre zurückliegt, beträgt die Mindestentzugsdauer für eine schwere Widerhandlung in casu sechs Monate (Art. 16c Abs. 2 lit. B SVG). Die Vorinstanz hat in ihrer Verfügung vom 21. Januar 2021 dem Beschwerdeführer den Führeraus- weis für sechs Monate entzogen, was der gesetzlich vorgeschriebenen Mindestdauer entspricht. Die verfügte Entzugsdauer von sechs Monaten ist folglich nicht zu beanstanden. So ergibt sich die angeordnete Entzugsdauer klar aus den erwähnten gesetzlichen Bestimmungen und es steht der Vorinstanz bzw. dem Gericht nicht zu, eine weniger eingreifende Massnahme anzuordnen; dies selbst dann, wenn die beruflichen Folgen für den Beschwerdeführer – wie er in seiner Beschwerde darlegt – gravierend sind. Aus den Vorbringen des Beschwerdeführers kann daher nichts zu seinen Gunsten abgeleitet werden.</w:t>
      </w:r>
    </w:p>
    <w:p>
      <w:r>
        <w:rPr>
          <w:b/>
        </w:rPr>
        <w:t>E. 5</w:t>
      </w:r>
    </w:p>
    <w:p>
      <w:r>
        <w:t>Die angefochtene Verfügung vom 21. Januar 2021 ist somit nicht zu beanstanden. Die Beschwer- de ist folglich abzuweisen und die Verfügung der Vorinstanz vom 21. Januar 2021zu bestätigen.</w:t>
      </w:r>
    </w:p>
    <w:p>
      <w:r>
        <w:rPr>
          <w:b/>
        </w:rPr>
        <w:t>E. 6</w:t>
      </w:r>
    </w:p>
    <w:p>
      <w:r>
        <w:t>Die Gerichtskosten, die auf CHF 600.-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w:t>
      </w:r>
    </w:p>
    <w:p>
      <w:r>
        <w:t>Kantonsgericht KG Seite 5 von 5 Der Hof erkennt: I. Die Beschwerde wird abgewiesen. Der Entscheid der Vorinstanz wird bestätigt.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 April 2021/yho/sco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