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184 vom 15. September 2022</w:t>
      </w:r>
    </w:p>
    <w:p>
      <w:r>
        <w:t>FR Kantonsgericht, 2022-09-15, DE</w:t>
      </w:r>
    </w:p>
    <w:p>
      <w:r>
        <w:rPr>
          <w:b/>
        </w:rPr>
        <w:t xml:space="preserve">Quelle: </w:t>
      </w:r>
      <w:r>
        <w:t>https://mcp.opencaselaw.ch/entscheid/fr_gerichte_603_2021_184</w:t>
      </w:r>
    </w:p>
    <w:p>
      <w:r>
        <w:t>FR: FR_GERICHTE 603 2021 184 du 15 septembre 2022</w:t>
      </w:r>
    </w:p>
    <w:p>
      <w:r>
        <w:t>IT: FR_GERICHTE 603 2021 184 del 15 settembre 2022</w:t>
      </w:r>
    </w:p>
    <w:p>
      <w:pPr>
        <w:pStyle w:val="Heading2"/>
      </w:pPr>
      <w:r>
        <w:t>Regeste</w:t>
      </w:r>
    </w:p>
    <w:p>
      <w:r>
        <w:t>Urteil des III. Verwaltungsgerichtshofes des Kantonsgerichts | Landwirtschaft</w:t>
      </w:r>
    </w:p>
    <w:p>
      <w:pPr>
        <w:pStyle w:val="Heading2"/>
      </w:pPr>
      <w:r>
        <w:t>Erwägungen</w:t>
      </w:r>
    </w:p>
    <w:p>
      <w:r>
        <w:rPr>
          <w:b/>
        </w:rPr>
        <w:t>E. 1</w:t>
      </w:r>
    </w:p>
    <w:p>
      <w:r>
        <w:t>Das Kantonsgericht ist zur Beurteilung der Beschwerde zuständig (Art. 88 des Bundesgesetzes vom</w:t>
      </w:r>
    </w:p>
    <w:p>
      <w:r>
        <w:rPr>
          <w:b/>
        </w:rPr>
        <w:t>E. 4</w:t>
      </w:r>
    </w:p>
    <w:p>
      <w:r>
        <w:t>Zu prüfen ist weiter, ob die Vorinstanz zu Recht davon ausgegangen ist, dass ein landwirtschaftli- ches Gewerbe vorliegt.</w:t>
      </w:r>
    </w:p>
    <w:p>
      <w:r>
        <w:rPr>
          <w:b/>
        </w:rPr>
        <w:t>E. 4.1</w:t>
      </w:r>
    </w:p>
    <w:p>
      <w:r>
        <w:t>Gemäss Art. 7 Abs. 1 BGBB gilt als landwirtschaftliches Gewerbe eine Gesamtheit von land- wirtschaftlichen Grundstücken, Bauten und Anlagen, die als Grundlage der landwirtschaftlichen Produktion dient und zu deren Bewirtschaftung, wenn sie landesüblich ist, mindestens eine Stand- ardarbeitskraft (vor 1. September 2008: drei Viertel einer Standardarbeitskraft, vgl. BGE 137 II 182 E. 3.1.1; zur Entwicklung der Erhöhung der Gewerbegrenzen vgl. BGE 135 II 313 E. 2.1 mit Hinwei- sen) nötig ist. Nach Art. 7 Abs. 3 BGBB sind bei der Beurteilung, ob ein landwirtschaftliches Gewerbe vorliegt, diejenigen Grundstücke zu berücksichtigen, die – entsprechend Art. 2 – dem BGBB unter- stellt sind. Zudem sind die örtlichen Verhältnisse (lit. a), die Möglichkeit, fehlende betriebsnotwendi- ge Gebäude zu erstellen oder vorhandene umzubauen, instand zu stellen oder zu ersetzen, wenn die entsprechenden Aufwendungen für den Betrieb tragbar sind (lit. b), und die für längere Dauer zugepachteten Grundstücke (lit. c) zu berücksichtigen (Art. 7 Abs. 4 BGBB; zum Begriff des land- wirtschaftlichen Gewerbes vgl. BGE 135 II 313 E. 4. und 5; HOFER, in Das bäuerliche Bodenrecht, Kommentar zum Bundesgesetz über das bäuerliche Bodenrecht vom 4. Oktober 1991, 2. Aufl. 2011, Art. 7 N. 12 ff.). Bei der Standardarbeitskraft (SAK) handelt es sich um ein Mass für die arbeitswirtschaftliche Betriebsgrösse. Sie wird anhand des standardisierten Arbeitsaufwands bei einer landesüblichen Bewirtschaftung berechnet (Urteil BGer 2C_39/2021 vom 4. November 2021 E. 3.1). Der Bundesrat legt die Faktoren und die Werte für die Berechnung einer Standardarbeitskraft in Abstimmung mit dem Landwirtschaftsrecht fest (vgl. Art. 7 Abs. 1 Satz 2 BGBB). Für die Berechnung des Umfangs an Standardarbeitskräften je Betrieb gelten gemäss Art. 2a Abs. 1 der Verordnung vom 4. Oktober 1993 über das bäuerliche Bodenrecht (VBB; SR 211.412.110) die Faktoren nach Art. 3 der Verord- nung vom 7. Dezember 1998 über landwirtschaftliche Begriffe und die Anerkennung von Betriebs- formen (LBV; SR 910.91).</w:t>
      </w:r>
    </w:p>
    <w:p>
      <w:r>
        <w:t>Kantonsgericht KG Seite 7 von 10 Die Beurteilung des Arbeitsaufwands und auch der Frage, ob ein landwirtschaftliches Gewerbe vorliegt, ist nach objektiven Kriterien vorzunehmen. Nicht relevant ist die tatsächliche Nutzung, würde damit doch die Anwendung des Gesetzes dem Einflussbereich des Grundeigentümers über- lassen werden. Es ist deshalb auf durchschnittliche Bewirtschaftungsformen abzustellen und nicht auf ausgefallene Einzelfälle. Auszugehen ist somit von landesüblichen Bewirtschaftungsformen (BGE 137 II 182 E. 3.1.3 mit Hinweisen; 121 III 274 E. 3c; Urteil BGer 2C_719/2018 vom 18. Septem- ber 2019 E. 2.2; HOFER, Art. 7 BGBB N. 39 ff. und N. 100 ff.).</w:t>
      </w:r>
    </w:p>
    <w:p>
      <w:r>
        <w:rPr>
          <w:b/>
        </w:rPr>
        <w:t>E. 4.2</w:t>
      </w:r>
    </w:p>
    <w:p>
      <w:r>
        <w:t>Die Vorinstanz ging im Rahmen ihrer SAK-Berechnung namentlich von 25 Grossvieheinhei- ten (GVE) "anderer Nutztiere" aus, woraus ein SAK-Bedarf von 0.675 resultiert (vgl. act. 6). Insge- samt weist der Betrieb des Beschwerdeführers gemäss vorinstanzlicher Einschätzung 1.23 SAK auf. Im angefochtenen Entscheid wurde einzig festgehalten, dass im bestehenden Ökonomieteil – wobei unklar ist, ob damit das Gebäude Nr. mmm oder ppp gemeint ist – mit geringen Investitionen von einigen CHF 10'000.- Milchwirtschaft betrieben werden könne und die zu tätigenden Investitionen für den Betrieb tragbar seien. Weiter finden sich im angefochtenen Entscheid Ausführungen zu Gemüsebau, Direktvermarktung und Agrotourismus, ohne dass diese Betriebszweige Eingang in die SAK-Berechnung gefunden hätten. Der Beschwerdeführer bringt vor, ohne die 25 GVE würde das Arbeitsaufkommen lediglich 0.555 SAK betragen, womit die für das Vorliegen eines landwirtschaftlichen Gewerbes erforderliche eine SAK gemäss Art. 7 Abs. 1 BGBB nicht erreicht würde. Er stellt der SAK-Berechnung der Vorinstanz zwei eigene Berechnungen entgegen, in denen er SAK-Werte von 0.96 bzw. 0.99 ermit- telt. Weiter rügt er, dass die notwendigen Sanierungskosten für die Nutztierhaltung deutlich mehr als wenige zehntausend Franken betragen würden. Er bezieht sich auf eine Kostenschätzung des I.________ vom 9. Dezember 2021, wonach im Wohn- und Ökonomiegebäude aufgrund des Alters des Gebäudes sowie notwendiger Anpassungen an die Tierschutzbestimmungen Sanierungskosten in der Höhe von CHF 442'700.- anfallen würden. Somit sei ausgeschlossen, dass die Investitionen für seinen Betrieb tragbar seien. Dies beweise auch die Tragbarkeitsberechnung der J.________ AG vom 15. März 2022.</w:t>
      </w:r>
    </w:p>
    <w:p>
      <w:r>
        <w:rPr>
          <w:b/>
        </w:rPr>
        <w:t>E. 4.3</w:t>
      </w:r>
    </w:p>
    <w:p>
      <w:r>
        <w:t>Im Wesentlichen ist die Vorinstanz nach dem Gesagten in Anwendung von Art. 7 Abs. 4 lit. b BGBB zum Schluss gekommen, dass die Möglichkeit bestünde, die vorhandenen betriebsnotwendi- gen Gebäude umzubauen bzw. instand zu stellen, und dass die entsprechenden, mit wenigen zehn- tausend Franken bezifferten Aufwendungen für den Betrieb tragbar wären. Welche konkreten Arbei- ten an welchen Gebäuden notwendig wären und weshalb diese mit wenigen CHF 10'000.- zu veran- schlagen seien, begründet die Vorinstanz nicht. Weiter kann dem angefochtenen Entscheid nichts zur Frage entnommen werden, inwiefern die Aufwendungen für den Betrieb tragbar sein sollen. Zu beidem finden sich auch in den Akten keine entsprechenden Abklärungen. Die Sachverhaltsfeststel- lungen der Vorinstanz sind damit offensichtlich ungenügend. Ob auf die vom Beschwerdeführer eingereichten Unterlagen (Kostenschätzung und Kurzbericht zur Tragbarkeitsberechnung) abzustel- len ist, bei denen es sich um Parteibehauptungen bzw. -gutachten handelt, kann unter diesen Umständen offenbleiben. Nach der bundesgerichtlichen Rechtsprechung erfordert die Beurteilung der Frage, mit welchem Aufwand fehlende betriebsnotwendige Gebäude erstellt bzw. vorhandene umgebaut, instand gestellt oder ersetzt und inwiefern die entsprechenden Aufwendungen vom Betrieb getragen werden können, in der Regel ein Sachverständigengutachten (vgl. BGE 135 II 313 E. 5.2.1; Urteil BGer 5A_345/2012 vom 20. September 2012 E. 3.2). Daran ändert nichts, dass es nach Ansicht der Vorinstanz nicht im Sinne des Gesetzgebers sein könne, dass die Bewilligungsbehörde verschiede-</w:t>
      </w:r>
    </w:p>
    <w:p>
      <w:r>
        <w:t>Kantonsgericht KG Seite 8 von 10 ne detaillierte Betriebskonzepte mit hypothetischen Betriebsbudgets entwickeln müsse, um festzu- stellen, ob ein Gewerbe im Sinne von Art. 7 BGBB vorliege und ob die Aufwendungen tragbar seien, trifft sie doch diesbezüglich im Rahmen der Pflicht zur Sachverhaltsfeststellung von Amtes wegen (Art. 45 Abs. 1 VRG) die Beweisführungslast.</w:t>
      </w:r>
    </w:p>
    <w:p>
      <w:r>
        <w:rPr>
          <w:b/>
        </w:rPr>
        <w:t>E. 4.4</w:t>
      </w:r>
    </w:p>
    <w:p>
      <w:r>
        <w:t>Zusammenfassend erweisen sich die vorinstanzlichen Sachverhaltsfeststellungen zum Vorliegen eines landwirtschaftlichen Gewerbes, namentlich zur Möglichkeit, vorhandene betriebs- notwendige Gebäude umzubauen, instand zu stellen oder zu ersetzen, sowie zur Tragbarkeit der entsprechenden Aufwendungen, als ungenügend. Bereits deshalb ist der angefochtene Entscheid aufzuheben und die Angelegenheit zur neuen Instruktion und anschliessend neuem Entscheid an die Vorinstanz zurückzuweisen. Dabei wird sie sich mit der Kostenschätzung und der Tragbarkeits- berechnung des Beschwerdeführers auseinanderzusetzen haben und angesichts der zitierten bundesgerichtlichen Rechtsprechung allenfalls ein Sachverständigengutachten in Auftrag geben müssen (wobei sie hierfür gestützt auf Art. 6 Abs. 3 AGBGBB einen Kostenvorschuss vom Beschwerdeführer einholen kann). Sie wird sich weiter auch zu den vom Gesuch ebenfalls erfassten Gebäuden Nr. kkk und lll zu äussern haben, was sie im angefochtenen Entscheid unterlassen hat (vgl. Ziff. 3 des Dispositivs).</w:t>
      </w:r>
    </w:p>
    <w:p>
      <w:r>
        <w:rPr>
          <w:b/>
        </w:rPr>
        <w:t>E. 5</w:t>
      </w:r>
    </w:p>
    <w:p>
      <w:r>
        <w:t>Der Beschwerdeführer beantragt ferner die Verfahrenskoordination im Sinne von Art. 4a VBB.</w:t>
      </w:r>
    </w:p>
    <w:p>
      <w:r>
        <w:rPr>
          <w:b/>
        </w:rPr>
        <w:t>E. 5.1</w:t>
      </w:r>
    </w:p>
    <w:p>
      <w:r>
        <w:t>Die angestrebte Nichtunterstellung der abzuparzellierenden Teilflächen unter das bäuerliche Bodenrecht wirft die Frage nach deren künftigen Nutzung auf, da diese nicht nur einen bodenrecht- lichen, sondern auch einen raumplanerischen Aspekt aufweist und damit ein Bedürfnis nach verfah- rensrechtlicher Koordination begründet (BGE 125 III 175 E. 2c). Seit dem Inkrafttreten am 1. September 2000 sieht Art. 4a VBB und die analoge Bestimmung von Art. 49 der Raumplanungs- verordnung vom 28. Juni 2000 (RPV; SR 700.1) in Nachachtung der zitierten Rechtsprechung eine solche Verfahrenskoordination bei der Bewilligung von Ausnahmen vom Realteilungs- und Zerstü- ckelungsverbot und im Verfahren um Erlass einer entsprechenden Feststellungsverfügung oder einer solchen über die Nichtanwendbarkeit des BGBB ausdrücklich vor, wenn auf dem betroffenen Grundstück eine Baute oder Anlage besteht und sich diese ausserhalb der Bauzone im Sinne des Bundesgesetzes vom 22. Juni 1979 über die Raumplanung (RPG; SR 700) befindet. In diesen Fällen kann die bodenrechtliche Bewilligungsbehörde erst entscheiden, wenn eine rechtskräftige raumpla- nungsrechtliche Verfügung der zuständigen kantonalen Behörde (Art. 25 Abs. 2 RPG; im Kanton Freiburg gemäss Art. 136 des kantonalen Raumplanungs- und Baugesetzes vom 2. Dezember 2008 [RPBG; SGF 710.1] die Direktion für Raumentwicklung, Infrastruktur, Mobilität und Umwelt [RIMU]) vorliegt, in der die Rechtmässigkeit der künftigen Nutzung der betreffenden Baute oder Anlage fest- gestellt wird (Art. 4a Abs. 2 VBB; vgl. Urteil BGer 2C_747/2013 vom 8. September 2014, das im Nachgang an das Urteil KG FR 603 2012 89 vom 11. Juni 2013 ergangen ist). Die Verfahrenskoor- dination erübrigt sich, wenn offensichtlich ist, dass keine Ausnahmebewilligung nach dem BGBB erteilt werden kann oder das betroffene Grundstück dem BGBB unterstellt bleiben muss (Art. 4a Abs. 3 VBB).</w:t>
      </w:r>
    </w:p>
    <w:p>
      <w:r>
        <w:rPr>
          <w:b/>
        </w:rPr>
        <w:t>E. 5.2</w:t>
      </w:r>
    </w:p>
    <w:p>
      <w:r>
        <w:t>Art. 4a VBB findet vorliegend Anwendung, da der Beschwerdeführer insbesondere um Fest- stellung der Nichtanwendbarkeit des Bodenrechts auf die abzuparzellierenden Teilflächen, auf denen sich Bauten ausserhalb der Bauzone befinden, ersucht hat. Die Verfahrenskoordination erüb- rigt sich zwar wie gesehen, wenn offensichtlich ist, dass keine Ausnahmebewilligung nach dem BGBB erteilt werden kann oder das betroffene Grundstück dem BGBB unterstellt bleiben muss. Da</w:t>
      </w:r>
    </w:p>
    <w:p>
      <w:r>
        <w:t>Kantonsgericht KG Seite 9 von 10 dies aufgrund des Verfahrensausgangs zumindest nicht offensichtlich erscheint, hat die Verfahrens- koordination mit der RIMU zu erfolgen. Die Vorinstanz hat daher im Rahmen der erneuten Instruktion der Angelegenheit die Akten der RIMU zuzustellen und deren rechtskräftigen Entscheid abzuwarten.</w:t>
      </w:r>
    </w:p>
    <w:p>
      <w:r>
        <w:rPr>
          <w:b/>
        </w:rPr>
        <w:t>E. 6</w:t>
      </w:r>
    </w:p>
    <w:p>
      <w:r>
        <w:t>Im Ergebnis ist die Beschwerde gutzuheissen und der angefochtene Entscheid aufzuheben. Die Angelegenheit ist zur neuen Beurteilung im Sinne der vorstehenden Erwägungen an die Vorinstanz zurückzuweisen.</w:t>
      </w:r>
    </w:p>
    <w:p>
      <w:r>
        <w:rPr>
          <w:b/>
        </w:rPr>
        <w:t>E. 7</w:t>
      </w:r>
    </w:p>
    <w:p>
      <w:r>
        <w:t>Die Rückweisung zur Neubeurteilung gilt praxisgemäss als vollständiges Obsiegen (Urteil KG FR 603 2019 136 vom 25. August 2020 E. 5.2 mit Hinweisen). Von der Erhebung von Gerichtskosten ist vorliegend abzusehen, da dem Staat in Anwendung von Art. 133 VRG keine Verfahrenskosten aufzuerlegen sind. Der geleistete Kostenvorschuss in der Höhe von CHF 2'000.- ist dem Beschwer- deführer zurückzuerstatten. Der obsiegende Beschwerdeführer hat Anspruch auf eine Parteientschädigung (Art. 137 ff. VRG und Art. 8 ff. des kantonalen Tarifs vom 17. Dezember 1991 der Verfahrenskosten und Entschädigungen in der Verwaltungsjustiz [Tarif VJ; SGF 150.12]). Mit Kostenliste vom 26. August 2022 weist er ein Honorar von CHF 6'725.- (22.4 Stunden à CHF 300.-), Auslagen von pauschal 3 % des Honorars, ausmachend CHF 201.75, sowie als weitere Auslage die Rechnung der J.________ AG vom 22. März 2022 über CHF 1'615.50 aus; die insgesamt geltend gemachte Entschädigung beläuft sich inklusive Mehrwertsteuer auf CHF 9'075.60. Da die Kostenliste nicht gänzlich den gesetzlichen Anforderungen entspricht – der Stundenansatz liegt auch bei komplexeren Fällen bei CHF 250.- (Art. 8 Abs. 1 Tarif VJ) und eine pauschale Entschä- digung der Barauslagen ist nicht vorgesehen (Art. 9 Tarif VJ) – ist die dem Beschwerdeführer geschuldete Parteientschädigung für Honorar und Auslagen ex aequo et bono auf CHF 5'700.- (zzgl. MwSt. zu 7.7 %, ausmachend CHF 438.90) festzusetzen. Die Kosten für die Tragbarkeitsberech- nung der J.________ AG können nicht entschädigt werden, da sie nicht als notwendige Kosten im Sinne von Art. 137 Abs. 1 VRG zu betrachten sind: Die Beschwerde war bereits aufgrund der Ausfüh- rungen in der Beschwerdeschrift gutzuheissen. Die Tragbarkeitsberechnung vermag sodann die weitere Instruktion der Angelegenheit durch die Vorinstanz nicht zu ersetzen, zumal auch die Höhe der notwendigen Sanierungskosten ungenügend abgeklärt wurde (zur ausnahmsweisen Entschädi- gung von Privatgutachten als Parteikosten in öffentlich-rechtlichen Verfahren vgl. Urteil BGer 1C_302/2021 vom 25. Januar 2022 E. 3.3). Insgesamt beläuft sich die Entschädigung damit auf CHF 6'138.90 (inkl. MwSt.). Sie ist dem Staat Freiburg aufzuerlegen. (Dispositiv auf der nächsten Seite)</w:t>
      </w:r>
    </w:p>
    <w:p>
      <w:r>
        <w:t>Kantonsgericht KG Seite 10 von 10 Der Hof erkennt: I. Die Beschwerde wird gutgeheissen. Der Entscheid der Vorinstanz vom 21. September 2021 wird aufgehoben und die Angelegen- heit zur neuen Beurteilung im Sinne der Erwägungen an die Vorinstanz zurückgewiesen. II. Es werden keine Gerichtskosten erhoben. Der Kostenvorschuss von CHF 2'000.- wird dem Beschwerdeführer zurückerstattet. III. Dem Beschwerdeführer wird zuhanden von Rechtsanwalt Pius Koller eine Parteientschädi- gung in der Höhe von CHF 6'138.90 (davon CHF 438.90 MwSt.) zugesprochen. Diese wird vollumfänglich dem Staat Freiburg auferlegt. IV. Zustellung. Gegen diesen Entscheid kann innert 30 Tagen ab Zustellung Beschwerde beim Bundesgericht eingereicht werden. Gegen die Festsetzung der Höhe der Verfahrenskosten und der Parteientschä- digung ist innert 30 Tagen die Einsprache an die Behörde, die entschieden hat, zulässig, sofern nur dieser Teil des Entscheids angefochten wird (Art. 148 VRG). Freiburg, 15. September 2022/mpo Die Vizepräsidentin: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