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179 vom 15. Dezember 2021</w:t>
      </w:r>
    </w:p>
    <w:p>
      <w:r>
        <w:t>FR Kantonsgericht, 2021-12-15, FR</w:t>
      </w:r>
    </w:p>
    <w:p>
      <w:r>
        <w:rPr>
          <w:b/>
        </w:rPr>
        <w:t xml:space="preserve">Quelle: </w:t>
      </w:r>
      <w:r>
        <w:t>https://mcp.opencaselaw.ch/entscheid/fr_gerichte_603_2021_179</w:t>
      </w:r>
    </w:p>
    <w:p>
      <w:r>
        <w:t>FR: FR_GERICHTE 603 2021 179 du 15 décembre 2021</w:t>
      </w:r>
    </w:p>
    <w:p>
      <w:r>
        <w:t>IT: FR_GERICHTE 603 2021 179 del 15 dicembre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et l'avance de frais ayant été versée dans le délai imparti, le recours est recevable à la forme et le Tribunal cantonal peut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w:t>
      </w:r>
    </w:p>
    <w:p>
      <w:r>
        <w:t>Tribunal cantonal TC Page 3 de 6</w:t>
      </w:r>
    </w:p>
    <w:p>
      <w:r>
        <w:rPr>
          <w:b/>
        </w:rPr>
        <w:t>E. 2.1</w:t>
      </w:r>
    </w:p>
    <w:p>
      <w:r>
        <w:t>Force est d'emblée de constater que le recourant ne conteste pas avoir dépassé la vitesse maximale signalée à l'intérieur d'une localité de 25 km/h, marge de sécurité déduite, fait qui a été également retenu dans le cadre de l'ordonnance pénale, entrée en force.</w:t>
      </w:r>
    </w:p>
    <w:p>
      <w:r>
        <w:rPr>
          <w:b/>
        </w:rPr>
        <w:t>E. 2.2</w:t>
      </w:r>
    </w:p>
    <w:p>
      <w:r>
        <w:t>D'après l'art. 27 al. 1 de la loi du 19 décembre 1958 sur la circulation routière (LCR; RS 741.01),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50 km/h dans les localités (let. a) et 80 km/h hors des localités, à l'exception des semi-autoroutes et des autoroutes (let. b). En outre, son al. 5 énonce que lorsque des signaux indiquent d'autres vitesses maximales, celles-ci sont applicables en lieu et place des limitations générales de vitesse. En l'espèce, au vu des faits établis, il faut constater que le recourant a violé les dispositions légales précitées. Partant, la CMA se devait de prononcer une mesure administrative à son égard.</w:t>
      </w:r>
    </w:p>
    <w:p>
      <w:r>
        <w:rPr>
          <w:b/>
        </w:rPr>
        <w:t>E. 3.1</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w:t>
      </w:r>
    </w:p>
    <w:p>
      <w:r>
        <w:t>Tribunal cantonal TC Page 4 de 6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l'art. 90 al. 2 LCR (MIZEL,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3.2</w:t>
      </w:r>
    </w:p>
    <w:p>
      <w:r>
        <w:t>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(arrêt TF 1C_83/2008 du 16 octobre 2008 consid. 5.2). Pour déterminer la gravité d'un dépassement de vitesse, le Tribunal fédéral a instauré des règles précises afin d'assurer l'égalité de traitement entre conducteurs. Ainsi, selon une jurisprudence constante, il retient qu'à l'intérieur d'une localité, l'infraction est légère en cas de dépassement de vitesse de 16 à 20 km/h, moyennement grave en cas de dépassement de 21 à 24 km/h et grave en cas de dépassement de 25 km/h ou plus (cf. notamment ATF 132 II 234 consid. 3.2; 128 II 131 consid. 2a; 126 II 196 consid. 2a; 124 II 475 consid. 2a, 124). Ces limites n'ont pas été fixées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avoir des conséquences tragiques, qui ont été mises en évidence dans le rapport du Professeur Felix Walz, de l'Institut de Médecine légale de l'Université de Zurich, du 17 novembre 1994 adressé à la Cour de cassation pénale du Tribunal fédéral (ATF 123 II 37 consid. 1d; 121 II 127 consid. 4b). Ces considérations demeurent pleinement valables (arrêt TF 1C_83/2008 du 16 octobre 2008 consid. 5.2). En effet, si</w:t>
      </w:r>
    </w:p>
    <w:p>
      <w:r>
        <w:t>Tribunal cantonal TC Page 5 de 6 les dépassements de la vitesse maximale autorisée ont connu une tendance à la baisse, la vitesse constitue néanmoins toujours l'une des principales causes d'accidents graves de la route et même la cause principale des accidents mortels; elle est également une cause importante de retraits de permis de conduire (cf. rapport SINUS 2021, Niveau de sécurité et accidents dans la circulation routière en 2020, du Bureau de prévention des accidents).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w:t>
      </w:r>
    </w:p>
    <w:p>
      <w:r>
        <w:rPr>
          <w:b/>
        </w:rPr>
        <w:t>E. 3.3</w:t>
      </w:r>
    </w:p>
    <w:p>
      <w:r>
        <w:t>En l'occurrence, le recourant a dépassé de 25 km/h la vitesse maximale de 50 km/h annoncée par un panneau de signalisation à l'intérieur de la localité, ce qui constitue objectivement une infraction grave au sens de l'art. 16c al. 1 let. a LCR et de la jurisprudence précitée. Aucun élément particulier ne justifie en l'espèce une appréciation plus nuancée de la gravité de la faute, et cela même si les conditions de la route et de visibilité devaient avoir été bonnes. En effet, rappelons que la vitesse de 50 km/h constitue un maximum qui ne peut être atteint qu'en présence de telles conditions favorables. Les circonstances de l'espèce n'ont dès lors rien d'exceptionnel et ne permettent manifestement pas de considérer la faute commise comme moyennement grave. Le comportement du recourant et la faute qui y est liée ne sauraient pas non plus être excusés, comme le souhaite celui-ci, par le fait qu'il s'agissait selon lui d'un simple moment d'inattention dans une situation de stress. Partant, l'appréciation de la CMA, selon laquelle le recourant s'est rendu coupable d'une infraction grave au sens de l'art. 16c al. 1 let. a LCR, et qui rejoint celle retenue par le Juge pénal, ne saurait être remise en cause.</w:t>
      </w:r>
    </w:p>
    <w:p>
      <w:r>
        <w:rPr>
          <w:b/>
        </w:rPr>
        <w:t>E. 4.1</w:t>
      </w:r>
    </w:p>
    <w:p>
      <w:r>
        <w:t>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w:t>
      </w:r>
    </w:p>
    <w:p>
      <w:r>
        <w:t>Tribunal cantonal TC Page 6 de 6</w:t>
      </w:r>
    </w:p>
    <w:p>
      <w:r>
        <w:rPr>
          <w:b/>
        </w:rPr>
        <w:t>E. 4.2</w:t>
      </w:r>
    </w:p>
    <w:p>
      <w:r>
        <w:t>En fixant à trois mois la durée du retrait, l'autorité intimée s'en est tenue à la durée minimale prévue par l'art. 16c al. 2 let. a LCR, de sorte qu'une réduction de celle-ci ne saurait entrer en ligne de compte, pour quelque motif que ce soit. Autrement dit, le besoin personnel de disposer du permis pour des raisons professionnelles invoqué par le recourant ne peut pas conduire à une réduction de la durée du retrait, limitée au minimum légal. Au vu des sanctions prescrites par la LCR, il n'est pas non plus possible de donner une suite favorable à la requête du précité de le sanctionner par une amende plus élevée en lieu et place du retrait du permis de conduire.</w:t>
      </w:r>
    </w:p>
    <w:p>
      <w:r>
        <w:rPr>
          <w:b/>
        </w:rPr>
        <w:t>E. 5.1</w:t>
      </w:r>
    </w:p>
    <w:p>
      <w:r>
        <w:t>Eu égard à ce qui précède, la décision de la CMA, conforme au droit et aux principes de la proportionnalité et de l'égalité de traitement, échappe ainsi à toute critique. Partant, mal fondé, le recours doit être rejeté et la décision de la CMA confirmée.</w:t>
      </w:r>
    </w:p>
    <w:p>
      <w:r>
        <w:rPr>
          <w:b/>
        </w:rPr>
        <w:t>E. 5.2</w:t>
      </w:r>
    </w:p>
    <w:p>
      <w:r>
        <w:t>Vu l'issue du recours, les frais de procédure doivent être mis à la charge du recourant qui succombe (art. 131 CPJA). la Cour arrête : I. Le recours est rejeté. II. Les frais de procédure, par CHF 600.-, sont mis à la charge du recourant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décembre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