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165 vom 30. November 2021</w:t>
      </w:r>
    </w:p>
    <w:p>
      <w:r>
        <w:t>FR Kantonsgericht, 2021-11-30, FR</w:t>
      </w:r>
    </w:p>
    <w:p>
      <w:r>
        <w:rPr>
          <w:b/>
        </w:rPr>
        <w:t xml:space="preserve">Quelle: </w:t>
      </w:r>
      <w:r>
        <w:t>https://mcp.opencaselaw.ch/entscheid/fr_gerichte_603_2021_165</w:t>
      </w:r>
    </w:p>
    <w:p>
      <w:r>
        <w:t>FR: FR_GERICHTE 603 2021 165 du 30 novembre 2021</w:t>
      </w:r>
    </w:p>
    <w:p>
      <w:r>
        <w:t>IT: FR_GERICHTE 603 2021 165 del 30 novembre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et régularisé dans le délai et les formes prescrits (art. 79 ss du code fribourgeois du 23 mai 1991 de procédure et de juridiction administrative, CPJA; RSF 150.1) – l'avance des frais de procédure ayant en outre été versée en temps utile – le recours est recevable à la forme. La Cour de céans peut dès lors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ne soit en mesure de fonder sa décision sur des constatations de fait inconnues du juge pénal, s'il existe des preuves nouvelles dont l'appréciation conduit à un autre résultat, si l'appréciation à laquelle s'est livré le juge pénal n'a pas élucidé toutes les questions de droit, en particulier celles qui touchent à la violation des règles de la circulation (ATF 119 Ib 158 / JdT 1994 I 676). De même,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(ATF 121 II 214).</w:t>
      </w:r>
    </w:p>
    <w:p>
      <w:r>
        <w:t>Tribunal cantonal TC Page 4 de 8</w:t>
      </w:r>
    </w:p>
    <w:p>
      <w:r>
        <w:rPr>
          <w:b/>
        </w:rPr>
        <w:t>E. 2.2</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w:t>
      </w:r>
    </w:p>
    <w:p>
      <w:r>
        <w:rPr>
          <w:b/>
        </w:rPr>
        <w:t>E. 2.3</w:t>
      </w:r>
    </w:p>
    <w:p>
      <w:r>
        <w:t>En l'espèce, il est reproché au recourant d'avoir circulé avec un véhicule automobile dont les vitres latérales avant n'étaient pas dégivrées. Par ordonnance pénale du 11 mai 2021, le recourant a été reconnu coupable de violation grave des règles de la circulation routière pour avoir circulé avec les vitres latérales avant non dégivrées et a été condamné en application de l'art. 90 al. 2 LCR. Il n'a pas contesté ce prononcé – qui est entré en force – démontrant par là-même qu'il acceptait sa condamnation et, plus particulièrement, l'état de fait retenu; du reste, il n'a critiqué les faits qui lui sont reprochés ni devant la CMA ni dans le cadre de la présente procédure de recours. La CMA a fondé sa décision du 30 septembre 2021 sur le même état de fait que celui retenu par le Juge pénal. Il faut dès lors tenir pour établi que le recourant a circulé avec les vitres latérales avant non dégivrées, contrevenant ainsi aux art. 29 LCR, 57 OCR et 71a OETV, de sorte qu'une mesure administrative devait être prononcée.</w:t>
      </w:r>
    </w:p>
    <w:p>
      <w:r>
        <w:rPr>
          <w:b/>
        </w:rPr>
        <w:t>E. 3.1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w:t>
      </w:r>
    </w:p>
    <w:p>
      <w:r>
        <w:t>Tribunal cantonal TC Page 5 de 8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3.2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w:t>
      </w:r>
    </w:p>
    <w:p>
      <w:r>
        <w:t>Tribunal cantonal TC Page 6 de 8 comportement de l'automobiliste constituait une infraction moyennement grave au sens de l'art. 16b al. 1 let. a LCR. Il a réitéré ce jugement dans un autre arrêt, par lequel il a confirmé que celui qui omet de nettoyer entièrement le pare-brise ne commet pas une faute légère (arrêt TF 6A.58/2006 du 9 octobre 2006). Dans ses arrêts subséquents portant sur des affaires similaires (6B_672/2008 du 16 janvier 2009 et 1C_532/2009 du 28 janvier 2010), le Tribunal fédéral a jugé que la faute comme la mise en danger devaient être qualifiées de graves, au sens des art. 90 al. 2 comme aussi des art. 16c al. 1 let. a et al. 2 let. a LCR, lorsque les vitres sont givrées au point de restreindre considérablement la visibilité du conducteur vers l'extérieur. Se basant sur cette jurisprudence, l'autorité de céans a également retenu une faute moyennement grave ou grave en cas de circulation au volant d'un véhicule dont les vitres n'étaient que partiellement dégivrées (arrêts TA FR 3A 2006 84 du 2 novembre 2006 [faute moyenne]; 3A 2006 186 du 23 janvier 2007 [faute moyenne]; 3A 2006 196 du 16 février 2007 [faute moyenne]; arrêts TC FR 603 2010 123 du 22 mars 2011 [faute grave]; 603 2009 135 du 25 juillet 2011 [faute moyenne]; 603 2014 77 du 3 juillet 2014 [faute grave]; 603 2014 108 du 1er juillet 2015 [faute grave]; 603 2016 74 du 2 août 2016 [faute grave]; 603 2020 149 du 26 octobre 2020 [faute grave]; 603 2020 142 du 12 janvier 2021 [faute moyenne]). Elle a abaissé la qualification de grave à moyenne notamment dans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w:t>
      </w:r>
    </w:p>
    <w:p>
      <w:r>
        <w:rPr>
          <w:b/>
        </w:rPr>
        <w:t>E. 3.3</w:t>
      </w:r>
    </w:p>
    <w:p>
      <w:r>
        <w:t>Dans le cas d'espèce, le recourant a commis une faute qui ne peut pas être considérée comme légère. En effet, en conduisant un véhicule dont les vitres latérales avant étaient totalement givrées, il a délibérément violé le prescrit d'une règle élémentaire du code de la route qui s'impose à tout automobiliste respectueux de la sécurité routière. Il ne s'agit pas d'une simple inattention, ni d'un enchaînement de circonstances malheureuses, mais bien d'une faute délibérée. En prenant le volant malgré une visibilité latérale fortement réduite – voire inexistante –, à une heure matinale où le trafic commence à augmenter, le recourant a objectivement pris le risque de mettre en danger les autres usagers de la route, en particulier les piétons et les cyclistes qui auraient pu surgir sur son chemin sans pouvoir être remarqués à temps. Le fait que ce risque ne se soit pas concrétisé - heureusement - relève du cas fortuit et ne saurait profiter au recourant. Cela étant, le Tribunal fédéral a déjà eu l'occasion de confirmer que le fait de conduire avec les vitres latérales complètement givrées constituait à lui seul une infraction moyennement grave (cf. arrêt TF 1C_813/2013 du 9 janvier 2014). En l'occurrence, il n'y a pas lieu de s'écarter de cette appréciation. Aussi, étant rappelé que l'Instance de céans, s'agissant de pures questions de droit, dont l'appréciation de la faute commise et de la mise en danger, n'est pas liée par l'opinion du Juge pénal, notamment lorsque ce dernier a rendu sa décision sur la seule base du dossier, force est d'admettre que l'on peut se distancier ici de la faute grave et, comme l'a déjà jugé le Tribunal fédéral, retenir une faute de gravité moyenne, au sens de l'art. 16b al. 1 let. a LCR. Partant, la décision de la CMA doit être modifiée en ce sens qu'un retrait de permis de conduire est prononcé en raison de la commission d'une infraction moyennement grave. Conformément à l'art. 98 CPJA, lorsque le recours est déclaré recevable, l'autorité de recours confirme ou annule, totalement ou partiellement, la décision attaquée (al. 1). En cas d'annulation, elle statue elle-même sur l'affaire ou la renvoie à l'autorité inférieure, s'il y a lieu avec des instructions impératives (al. 2). Dans le cas particulier, un renvoi à l'autorité intimée semble superflu et le principe</w:t>
      </w:r>
    </w:p>
    <w:p>
      <w:r>
        <w:t>Tribunal cantonal TC Page 7 de 8 de l'économie de procédure justifie que l'autorité de recours statue elle-même dès lors qu'elle dispose de tous les éléments nécessaires pour statuer en toute connaissance de cause.</w:t>
      </w:r>
    </w:p>
    <w:p>
      <w:r>
        <w:rPr>
          <w:b/>
        </w:rPr>
        <w:t>E. 4.1</w:t>
      </w:r>
    </w:p>
    <w:p>
      <w:r>
        <w:t>Selon l'art. 16b al. 2 LCR, après une infraction moyennement grave, le permis d’élève conducteur ou le permis de conduire est retiré pour un mois au minimum (let. a), pour quatre mois au minimum si, au cours des deux années précédentes, le permis a été retiré une fois en raison d’une infraction grave ou moyennement grave (let. b) et pour neuf mois au minimum si, au cours des deux années précédentes, le permis a été retiré à deux reprises en raison d’infractions qualifiées de moyennement graves au moins (let. c).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(cf. art. 16 al. 3 LCR). L'autorité administrative doit en outre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(PERRIN, Délivrance et retrait du permis de conduire, Fribourg 1982, p. 190 et la jurisprudence citée).</w:t>
      </w:r>
    </w:p>
    <w:p>
      <w:r>
        <w:rPr>
          <w:b/>
        </w:rPr>
        <w:t>E. 4.2</w:t>
      </w:r>
    </w:p>
    <w:p>
      <w:r>
        <w:t>Sur le vu de ce qui précède et compte tenu de l'absence d'antécédents du recourant et du fait que la CMA s'en était tenue dans sa décision à la durée minimale de retrait, la durée du retrait du permis de conduire du recourant est fixée à un mois, soit le minimum légal prévu par l'art. 16b al. 2 let. a LCR. Cette sanction apparaît manifestement apte à réaliser l'objectif préventif et éducatif du retrait d'admonestation, visé par le législateur.</w:t>
      </w:r>
    </w:p>
    <w:p>
      <w:r>
        <w:rPr>
          <w:b/>
        </w:rPr>
        <w:t>E. 5</w:t>
      </w:r>
    </w:p>
    <w:p>
      <w:r>
        <w:t>Pour l’ensemble des motifs qui précèdent, le recours doit être partiellement admis et la décision attaquée modifiée en ce sens que le permis de conduire du recourant est retiré pour la durée d'un mois en raison de la commission d'une infraction moyennement grave. En application de l'art. 131 al. 1 CPJA, les frais de procédure sont mis partiellement à charge du recourant, par CHF 300.-, le solde de CHF 300.- lui étant restitué. (dispositif en page suivante)</w:t>
      </w:r>
    </w:p>
    <w:p>
      <w:r>
        <w:t>Tribunal cantonal TC Page 8 de 8 la Cour arrête : I. Le recours est partiellement admis. Partant, la décision de la CMA du 30 septembre 2021 est modifiée en ce sens que le permis de conduire de A.________ est retiré pour la durée d'un mois en raison de la commission d'une infraction moyennement grave. II. Les frais de procédure, par CHF 300.-, sont mis à la charge du recourant. Ils sont prélevés sur l'avance de frais versée, le solde de CHF 300.- lui étant restitué.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30 novembre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