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139 vom 22. Oktober 2021</w:t>
      </w:r>
    </w:p>
    <w:p>
      <w:r>
        <w:t>FR Kantonsgericht, 2021-10-22, DE</w:t>
      </w:r>
    </w:p>
    <w:p>
      <w:r>
        <w:rPr>
          <w:b/>
        </w:rPr>
        <w:t xml:space="preserve">Quelle: </w:t>
      </w:r>
      <w:r>
        <w:t>https://mcp.opencaselaw.ch/entscheid/fr_gerichte_603_2021_139</w:t>
      </w:r>
    </w:p>
    <w:p>
      <w:r>
        <w:t>FR: FR_GERICHTE 603 2021 139 du 22 octobre 2021</w:t>
      </w:r>
    </w:p>
    <w:p>
      <w:r>
        <w:t>IT: FR_GERICHTE 603 2021 139 del 22 ottobre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Nachfolgend ist zu prüfen, ob die Vorinstanz mit der angefochtenen Verfügung den Führerausweis auf Probe des Beschwerdeführers infolge des Ereignisses vom 29. Juni 2021 zu Recht annullierte.</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 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 1C_537/2020 vom 16. Februar 2021 E. 3.1).</w:t>
      </w:r>
    </w:p>
    <w:p>
      <w:r>
        <w:rPr>
          <w:b/>
        </w:rPr>
        <w:t>E. 3.2</w:t>
      </w:r>
    </w:p>
    <w:p>
      <w:r>
        <w:t>Vorliegend wurde in sachverhaltlicher Hinsicht im Strafbefehl insbesondere festgehalten, dass der Beschwerdeführer am 29. Juni 2021, ca. um 22.50 Uhr, in Gümmenen beim Verlassen des Kreisverkehrs seine Geschwindigkeit zu wenig an die Strassenverhältnisse angepasst habe, so dass das Fahrzeugheck ausbrach, das Fahrzeug über die Fahrbahn des Gegenverkehrs schleuderte, am rechten Strassenrand mit einem Signalpfosten kollidierte und nach mehr als 17 Metern im angren- zenden Acker zum Stillstand kam.</w:t>
      </w:r>
    </w:p>
    <w:p>
      <w:r>
        <w:t>Kantonsgericht KG Seite 4 von 7</w:t>
      </w:r>
    </w:p>
    <w:p>
      <w:r>
        <w:rPr>
          <w:b/>
        </w:rPr>
        <w:t>E. 3.3</w:t>
      </w:r>
    </w:p>
    <w:p>
      <w:r>
        <w:t>Der Beschwerdeführer trägt in seiner Beschwerde namentlich vor, dass er beim fraglichen Ereignis zwar einen Signalpfosten umgefahren habe; dabei habe es sich jedoch nicht um eine Kein- Vortritt-Tafel oder ein Stoppsignal gehandelt, sondern um die Signalisation "Ende der Höchstge- schwindigkeit".</w:t>
      </w:r>
    </w:p>
    <w:p>
      <w:r>
        <w:rPr>
          <w:b/>
        </w:rPr>
        <w:t>E. 3.4</w:t>
      </w:r>
    </w:p>
    <w:p>
      <w:r>
        <w:t>Diese Präzisierung ist für das vorliegende Verfahren nicht entscheidwesentlich und wider- spricht überdies der Darstellung im Strafbefehl auch nicht. Der Strafbefehl wurde nicht angefochten, und der Beschwerdeführer bringt in seiner Beschwerde weiter nichts vor, was Zweifel an der Rich- tigkeit des im Strafbefehl etablierten Sachverhalts erwecken würde. Auf den im Strafverfahren fest- gehaltenen Sachverhalt kann daher abgestellt werden.</w:t>
      </w:r>
    </w:p>
    <w:p>
      <w:r>
        <w:rPr>
          <w:b/>
        </w:rPr>
        <w:t>E. 4.1</w:t>
      </w:r>
    </w:p>
    <w:p>
      <w:r>
        <w:t>Nach Art. 32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Führer muss laut Art. 31 SVG das Fahrzeug ständig so beherr- 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Verkehrsregelverordnung vom 13. November 1962 [VRV; SR 741.11]). Zudem muss er nach Art. 41b VRV vor der Einfahrt in einen Kreisverkehrsplatz die Geschwindigkeit mässi- gen und den im Kreis von links herannahenden Fahrzeugen den Vortritt lassen.</w:t>
      </w:r>
    </w:p>
    <w:p>
      <w:r>
        <w:rPr>
          <w:b/>
        </w:rPr>
        <w:t>E. 4.2</w:t>
      </w:r>
    </w:p>
    <w:p>
      <w:r>
        <w:t>Gestützt auf den im Strafbefehl etablierten Sachverhalt ist festzuhalten, dass der Beschwer- deführer die erwähnten Bestimmungen verletzte.</w:t>
      </w:r>
    </w:p>
    <w:p>
      <w:r>
        <w:rPr>
          <w:b/>
        </w:rPr>
        <w:t>E. 5.1</w:t>
      </w:r>
    </w:p>
    <w:p>
      <w:r>
        <w:t>Das Gesetz unterscheidet zwischen der leichten, mittelschweren und schweren Widerhand- lung (Art. 16a-c SVG). Gemäss Art. 16a SVG begeht eine leichte Widerhandlung, wer durch Verlet- zung von Verkehrsregeln eine geringe Gefahr für die Sicherheit anderer hervorruft, sofern ihn dabei nur ein leichtes Verschulden trifft (Abs. 1 lit. a). Die fehlbare Person wird verwarnt, wenn in den vorangegangenen zwei Jahren der Ausweis nicht entzogen war und keine andere Administrativ- massnahme verfügt wurde (Abs. 3). Laut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(BGE 135 II 138 E. 2.4). Gemäss Art. 16c SVG begeht eine schwere Widerhandlung, wer durch grobe Verletzung von Verkehrsregeln eine ernstliche Gefahr für die Sicherheit anderer hervorruft oder in Kauf nimmt (Abs. 1 lit. a).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Nach einer schweren Widerhandlung, welche einer groben Verkehrsregelverletzung im Sinne von Art. 90 Abs. 2 SVG entspricht (BGE 132 II 234 E. 3), wird der Führerausweis für mindestens drei Monate entzogen (Abs. 2 lit. a; siehe neben vielen Urteil BGer 1C_424/2012 vom 14. Januar 2013 E. 2.1).</w:t>
      </w:r>
    </w:p>
    <w:p>
      <w:r>
        <w:t>Kantonsgericht KG Seite 5 von 7</w:t>
      </w:r>
    </w:p>
    <w:p>
      <w:r>
        <w:rPr>
          <w:b/>
        </w:rPr>
        <w:t>E. 5.2</w:t>
      </w:r>
    </w:p>
    <w:p>
      <w:r>
        <w:t>Die mittelschwere Widerhandlung stellt nach Art. 16b Abs. 1 lit. a SVG einen Auffangtatbe- stand dar. Sie liegt vor, wenn nicht alle privilegierenden Elemente einer leichten Widerhandlung nach Art. 16a Abs. 1 lit. a SVG und nicht alle qualifizierenden Elemente einer schweren Widerhandlung nach Art. 16c Abs. 1 lit. a SVG gegeben sind (Urteil BGer 6A.16/2006 vom 6. April 2006 E. 2.1.1).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 handlung vor (MIZEL, Die Grundtatbestände der neuen Warnungsentzüge des SVG und ihre Bezie- hung zum Strafrecht, in ZStrR 124/2006, S. 31 ff., insbesondere S. 63 f.; zum Ganzen: Urteil BGer 1C_456/2011 vom 28. Februar 2012 E. 2.2).</w:t>
      </w:r>
    </w:p>
    <w:p>
      <w:r>
        <w:rPr>
          <w:b/>
        </w:rPr>
        <w:t>E. 6.1</w:t>
      </w:r>
    </w:p>
    <w:p>
      <w:r>
        <w:t>Vorliegend hat der Beschwerdeführer gemäss dem im Strafverfahren etablierten Sachverhalt beim Verlassen des Kreisverkehrs seine Geschwindigkeit zu wenig an die Strassenverhältnisse angepasst, so dass das Fahrzeug über die Fahrbahn des Gegenverkehrs schleuderte, mit einem Signalpfosten kollidierte und nach mehr als 17 Metern im angrenzenden Acker zum Stillstand kam.</w:t>
      </w:r>
    </w:p>
    <w:p>
      <w:r>
        <w:rPr>
          <w:b/>
        </w:rPr>
        <w:t>E. 6.2</w:t>
      </w:r>
    </w:p>
    <w:p>
      <w:r>
        <w:t>Bei den vom Beschwerdeführer verletzten Strassenverkehrsvorschriften handelt es sich um zentrale Verkehrsvorschriften, deren Missachtung regelmässig zu schweren Unfällen führt. Insbe- sondere kann eine unangemessene Fahrweise beim Befahren eines Kreisverkehrs weitere Verkehrsteilnehmer gefährden (vgl. Urteil BGer 1C_61/2015 vom 1. Mai 2015 E. 3.5; Urteil KG FR 603 2019 140 vom 27. Dezember 2019). So kam es denn auch unmittelbar zu einem Selbstunfall, bei dem der Beschwerdeführer mit einem Signalpfosten auf der anderen Fahrbahnseite kollidierte und erst nach mehr als 17 Metern im angrenzenden Acker zum Stillstand kam. Der Beschwerdefüh- rer führt in seiner Beschwerde aus, dass gar keine Gefährdung für andere Verkehrsteilnehmer bestanden habe, da niemand anderes vor Ort gewesen sei. Indes ist er daran zu erinnern, dass eine ernstliche Gefahr für die Sicherheit nicht erst bei einer konkreten, sondern bereits bei einer erhöhten abstrakten Gefährdung zu bejahen ist (vgl. E. 5.1), und es vorliegend lediglich den glücklichen Umständen zu verdanken ist, dass keine weiteren Verkehrsteilnehmer geschädigt wurden. Zudem besteht nach der allgemeinen Lebenserfahrung in Situationen, bei denen es zum Schleudern eines Fahrzeuges kommt und dieses über die Gegenfahrbahn schlittert, ein grosses Risiko von Folgeun- fällen, weil das Verhalten eines solchen Fahrzeuges unberechenbar ist. Weder kann der Automobi- list situationsgerecht auf den übrigen Verkehr reagieren, noch können die anderen Verkehrsteilneh- mer das Verhalten eines ins Schleudern geratenen Wagens abschätzen bzw. antizipieren (siehe BGE 126 II 192 E. 2b). Der Regen und die nasse Fahrbahn sowie die nächtliche Dunkelheit hätten zudem Anlass für eine erhöhte Aufmerksamkeit des Beschwerdeführers sein müssen, da doch schwierige Verkehrsbedingungen die geforderte Sorgfalt allgemein heraufsetzen (vgl. Urteil BGer 1C_61/2015 vom 1. Mai 2015 E. 3.5, mit Hinweis). Auch soweit er schliesslich in seiner Beschwerde vorbringt, dass sein Verhalten einzig eine geringe Gefahr für die Sicherheit anderer hervorgerufen habe, da er nicht mit einem Stoppsignal oder einer Kein-Vortritt-Signalisation, sondern lediglich mit einem Verkehrssignal "Ende der Höchstgeschwindigkeit" kollidiert sei, kann ihm in keiner Weise gefolgt werden, da kein Unterschied für die direkt durch den Unfall entstandene Gefahrenlage ersichtlich ist.</w:t>
      </w:r>
    </w:p>
    <w:p>
      <w:r>
        <w:rPr>
          <w:b/>
        </w:rPr>
        <w:t>E. 6.3</w:t>
      </w:r>
    </w:p>
    <w:p>
      <w:r>
        <w:t>Aufgrund der durch das Ereignis geschaffenen ernstlichen Gefahr ist die Vorinstanz zu Recht davon ausgegangen, dass der Beschwerdeführer nicht nur eine leichte, sondern eine mittelschwere Widerhandlung gegen die Strassenverkehrsvorschriften im Sinne von Art. 16b Abs. 1 lit. a SVG begangen hat.</w:t>
      </w:r>
    </w:p>
    <w:p>
      <w:r>
        <w:t>Kantonsgericht KG Seite 6 von 7</w:t>
      </w:r>
    </w:p>
    <w:p>
      <w:r>
        <w:rPr>
          <w:b/>
        </w:rPr>
        <w:t>E. 7.1</w:t>
      </w:r>
    </w:p>
    <w:p>
      <w:r>
        <w:t>Nach Art. 15a Abs. 1 SVG wird der erstmals erworbene Führerausweis für Motorräder und Motorwagen zunächst auf Probe erteilt. Die Probezeit beträgt drei Jahre. Der definitive Führeraus- weis wird laut Art. 15b Abs. 2 SVG erteilt, wenn die Probezeit abgelaufen ist und die vorgeschriebe- nen Weiterbildungskurse besucht wurden. Wird dem Inhaber der Ausweis auf Probe wegen einer Widerhandlung entzogen, so wird die Probe- zeit um ein Jahr verlängert (Art. 15a Abs. 3 SVG). Der Führerausweis auf Probe verfällt mit der zweiten Widerhandlung, die zum Entzug des Ausweises führt (Art. 15a Abs. 4 SVG); nach der bundesgerichtlichen Rechtsprechung erfolgt dieser Verfall mit der zweiten Widerhandlung, die zum Entzug des Ausweises führt, gleichgültig, wie schwer die erste oder zweite Widerhandlung wiegt (vgl. BGE 136 II 447; Urteil BGer 1C_567/2008 vom 17. April 2009; 1C_215/2009 vom 13. Januar 2010). Es gilt demnach bei Inhabern von Führerausweisen auf Probe nach zwei Widerhandlungen in der Probezeit, die zum Entzug des Führerausweises führen, die gesetzliche Vermutung fehlender Fahreignung. Die Annullierung des Führerausweises auf Probe stellt mithin eine sichernde Mass- nahme dar (WEISSENBERGER, Kommentar SVG und Ordnungsbussengesetz, 2. Aufl. 2015, Art. 15a N. 21). Dabei ist zu beachten, dass allfällige berufliche Konsequenzen bei einem Sicherheitsentzug – der bezweckt, die weiteren Verkehrsteilnehmer von nicht fahrgeeigneten Fahrern zu schützen – nicht zu berücksichtigen sind (vgl. Urteil BGer 1C_213/2014 vom 3. Juli 2014 E. 5; BGE 139 II 95 E. 3.4.2; Urteil BGer 6A.4/2004 vom 22. März 2004 E. 3.3).</w:t>
      </w:r>
    </w:p>
    <w:p>
      <w:r>
        <w:rPr>
          <w:b/>
        </w:rPr>
        <w:t>E. 7.2</w:t>
      </w:r>
    </w:p>
    <w:p>
      <w:r>
        <w:t>Da der Beschwerdeführer bereits in einem früheren Zeitpunkt seiner Probezeit eine (schwere) Widerhandlung gegen die Strassenverkehrsvorschriften begangen hat, welche zum Entzug des Führerausweises auf Probe für drei Monate und zur Verlängerung der Probezeit führte (siehe Verfü- gung vom 7. November 2018), sind die Tatbestandsvoraussetzungen von Art. 15a Abs. 4 SVG offen- sichtlich erfüllt: Wie erwähnt, verfällt nach dieser Bestimmung der Führerausweis auf Probe mit der zweiten Widerhandlung, die zum Entzug des Ausweises führt. Hieran ändert es nichts, dass er – wie er in der Beschwerde geltend macht – beruflich wie auch im Militär auf den Führerausweis angewie- sen sei. Die Vorinstanz entschied mithin zu Recht, dass der Führerausweis auf Probe des Beschwerdefüh- rers annulliert wird. Es steht der Vorinstanz bzw. dem Kantonsgericht nicht zu, anstelle der gesetzlich klar vorgeschriebenen Annullierung des Führerausweises auf Probe eine andere bzw. weniger einschneidende Massnahme zu verfügen.</w:t>
      </w:r>
    </w:p>
    <w:p>
      <w:r>
        <w:rPr>
          <w:b/>
        </w:rPr>
        <w:t>E. 8</w:t>
      </w:r>
    </w:p>
    <w:p>
      <w:r>
        <w:t>Schliesslich ist auch nicht zu beanstanden, dass die Vorinstanz im angefochtenen Entscheid verfüg- te, dass die Erteilung eines neuen Lernfahrausweises frühestens ein Jahr nach der begangenen Widerhandlung möglich sei: So bestimmt doch Art. 15a Abs. 5 SVG, dass "ein neuer Lernfahraus- weis (…) frühestens ein Jahr nach Begehung der Widerhandlung und nur aufgrund eines verkehrs- psychologischen Gutachtens erteilt werden kann, das die Eignung bejaht".</w:t>
      </w:r>
    </w:p>
    <w:p>
      <w:r>
        <w:rPr>
          <w:b/>
        </w:rPr>
        <w:t>E. 9</w:t>
      </w:r>
    </w:p>
    <w:p>
      <w:r>
        <w:t>Im Ergebnis hat demnach die Vorinstanz zu Recht verfügt, dass der Führerausweis auf Probe annul- liert wird und ein neuer Lernfahrausweis frühestens ein Jahr nach der begangenen Widerhandlung möglich sei. Die Beschwerde ist folglich abzuweisen und die Verfügung der Vorinstanz vom 2. September 2021 ist zu bestätigen.</w:t>
      </w:r>
    </w:p>
    <w:p>
      <w:r>
        <w:t>Kantonsgericht KG Seite 7 von 7</w:t>
      </w:r>
    </w:p>
    <w:p>
      <w:r>
        <w:rPr>
          <w:b/>
        </w:rPr>
        <w:t>E. 10</w:t>
      </w:r>
    </w:p>
    <w:p>
      <w:r>
        <w:t>Die Gerichtskosten,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22. Oktober 2021/dgr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