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135 vom 8. November 2021</w:t>
      </w:r>
    </w:p>
    <w:p>
      <w:r>
        <w:t>FR Kantonsgericht, 2021-11-08, FR</w:t>
      </w:r>
    </w:p>
    <w:p>
      <w:r>
        <w:rPr>
          <w:b/>
        </w:rPr>
        <w:t xml:space="preserve">Quelle: </w:t>
      </w:r>
      <w:r>
        <w:t>https://mcp.opencaselaw.ch/entscheid/fr_gerichte_603_2021_135</w:t>
      </w:r>
    </w:p>
    <w:p>
      <w:r>
        <w:t>FR: FR_GERICHTE 603 2021 135 du 8 novembre 2021</w:t>
      </w:r>
    </w:p>
    <w:p>
      <w:r>
        <w:t>IT: FR_GERICHTE 603 2021 135 del 8 novembre 2021</w:t>
      </w:r>
    </w:p>
    <w:p>
      <w:pPr>
        <w:pStyle w:val="Heading2"/>
      </w:pPr>
      <w:r>
        <w:t>Regeste</w:t>
      </w:r>
    </w:p>
    <w:p>
      <w:r>
        <w:t>Arrêt de la IIIe Cour administrative du Tribunal cantonal | Strassenverkehr und Transportwesen</w:t>
      </w:r>
    </w:p>
    <w:p>
      <w:pPr>
        <w:pStyle w:val="Heading2"/>
      </w:pPr>
      <w:r>
        <w:t>Erwägungen</w:t>
      </w:r>
    </w:p>
    <w:p>
      <w:r>
        <w:rPr>
          <w:b/>
        </w:rPr>
        <w:t>E. 26</w:t>
      </w:r>
    </w:p>
    <w:p>
      <w:r>
        <w:t>octobre 2021 et 2 novembre 2021. en droit 1. 1.1. Déposé dans le délai et les formes prescrits, le présent recours est recevable en vertu des art. 12 de la loi fribourgeoise du 12 novembre 1981 d'application de la législation fédérale sur la circulation routière (LALCR; RSF 781.1) et art. 79 à 81 du code fribourgeois du 23 mai 1991 de procédure et de juridiction administrative (CPJA; RSF 150.1). Le Tribunal cantonal peut donc entrer en matière sur ses mérites. 1.2. Selon l'art. 77 al. 1 CPJA, le recours devant le Tribunal cantonal peut être formé pour violation du droit, y compris l'excès ou l'abus du pouvoir d'appréciation (let. a) et pour constatation inexacte</w:t>
      </w:r>
    </w:p>
    <w:p>
      <w:r>
        <w:t>Tribunal cantonal TC Page 3 de 8 ou incomplète des faits pertinents (let. b). En revanche, à défaut d'habilitation légale expresse, le Tribunal cantonal ne peut pas examiner en l'espèce le grief d'inopportunité (art. 78 al. 2 CPJA). 2. 2.1.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2.2. En l'espèce, l'autorité pénale a retenu que le recourant avait heurté une piétonne sur un passage pour piétons sécurisé. Cette ordonnance est entrée en force. Partant, elle liait l'autorité intimée - qui avait d'ailleurs suspendu la procédure jusqu'à droit connu sur la procédure pénale - en particulier pour déterminer les faits sur lesquels se fonder. Le recourant a été rendu explicitement attentif à son obligation de défendre tous ses droits et d'invoquer tous ses arguments sur le plan pénal. Aussi, si le recourant entendait critiquer les faits précités, il aurait dû faire valoir ses arguments dans le cadre de la procédure pénale. Indépendamment de ce fait, le Tribunal relève ce qui suit. Il ressort du rapport de police que "la zone de choc a pu être déterminée sur le passage pour piétons, sur la voie du conducteur (…), grâce aux déclarations des participants et du témoin. Un premier choc s'est produit entre l'avant droit du véhicule et le côté gauche de la piétonne qui était engagée sur 8,10 mètres du passage pour piétons. Suite à ce choc, la tête de [la victime] a heurté le sol, sur la droite du véhicule, lequel ne s'était pas</w:t>
      </w:r>
    </w:p>
    <w:p>
      <w:r>
        <w:t>Tribunal cantonal TC Page 4 de 8 arrêté après le choc. (…) Une trace de sang était visible au sol à l'endroit où la piétonne (…) gisait après le choc. Elle se trouve à 3,30 mètres de la zone de choc." Ces constatations sont confirmées par le témoin et la victime et ne sauraient être remises en doute par les hypothèses formulées par le recourant quant aux significations des endroits des dégâts sur sa voiture. En outre, les blessures de la piétonne peuvent parfaitement être expliquées par les suites du choc par lequel elle a été projetée par terre, en se blessant à la tête. Contrairement à ce que pense le recourant, il ressort clairement du rapport de police – dont il a pu prendre connaissance ainsi qu'il l'indique dans son courrier du 2 novembre 2021 –, respectivement des photographies annexées, que la zone de choc se trouvait sur le passage pour piétons. On ne voit pas sur quelle base le Tribunal cantonal pourrait s'écarter des faits retenus dans la procédure pénale. Aucun motif ne permet à la Cour de céans de se distancier de ces faits. Il faut dès lors considérer comme établi que le recourant n'a pas fait preuve de l'attention nécessaire à l'approche d'un passage pour piétons et a percuté, alors qu'il circulait à basse vitesse, une piétonne qui traversait la chaussée de gauche à droite, la projetant au sol et lui causant une blessure à la tête. 3. 3.1. A teneur de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122 IV 225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TF 1C_87/2009 du 11 août 2009 consid. 3.2 / JdT 2009 I 512; arrêt TF 6S.96/2006 du 3 avril 2006 consid. 2.2 / JdT 2006 I 439; ATF 121 IV 286 consid. 4b; 115 II 283 consid. 1a).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(arrêts TF 1C_504/2011 du 17 avril 2012 consid. 2.4; 6B_493/2011 du 12 décembre 2011 consid. 4.2.2; 6B_1070/2009 du 22 mars 2010 consid. 3.2; 6S.96/2006 du 3 avril 2006 consid. 2.2, JdT 2006 I 439). L'art. 3 al. 1, 1ère et 2ème phrases, de l'ordonnance du 13 novembre 1962 sur la circulation routière (OCR; RS 741.11) précise que le conducteur vouera son attention à la route et à la circulation. Il évitera toute occupation qui rendrait plus difficile la conduite du véhicule.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w:t>
      </w:r>
    </w:p>
    <w:p>
      <w:r>
        <w:t>Tribunal cantonal TC Page 5 de 8 menacent la vie, l'intégrité corporelle ou les biens matériels d'autrui (BUSSY/RUSCONI, Code suisse de la circulation routière commentée, 4e éd. 2015, art. 31 LCR n. 2 ss). Par ailleurs,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(BUSSY/RUSCONI, art. 32 LCR n. 1.1). 3.2. Au vu des faits établis, le recourant a enfreint ces dispositions. 4. 4.1. 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w:t>
      </w:r>
    </w:p>
    <w:p>
      <w:r>
        <w:t>Tribunal cantonal TC Page 6 de 8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 4.2. D'après la jurisprudence, la faute d'un conducteur qui a heurté une personne engagée sur un passage pour piétons en ne s'arrêtant pas à temps ne peut pas être qualifiée de légère (cf. arrêts TF 4A_239/2015 du 6 octobre 2015 consid. 2.3; 1C_425/2012 du 17 décembre 2012 consid. 4.1; 1C_87/2009 du 11 août 2009 consid. 4.3). La jurisprudence a qualifié de grave la faute commise par un conducteur qui, circulant à 30 km/h dans une zone à important trafic piétonnier et après avoir contourné un îlot de tram, avait renversé mortellement une piétonne à quelques mètres d'un passage pour piétons, la faute commise par un motocycliste qui, de nuit et sur une chaussée mouillée, n'avait remarqué que tardivement un piéton sur un passage sécurisé et l'avait percuté avec sa moto, la faute commise par un conducteur qui, ébloui plusieurs fois par le soleil, a continué de circuler à 55 km/h à l'intérieur d'une localité, en particulier sur un passage pour piétons et ce sans visibilité, ou encore la double infraction commise par un automobiliste qui, n'ayant pas adapté sa vitesse aux circonstances, avait violé la priorité à un piéton et l'avait heurté (cf. arrêts TF 1C_87/2009 précité consid. 4.3; 1C_425/2012 du 17 décembre 2012 consid. 4.1 et les arrêts cités). Ont en revanche été qualifiées de moyennement grave la faute commise par un conducteur qui avait démarré au passage au vert du signal lumineux, sans prendre garde au feu orange clignotant et avait renversé un piéton qui traversait normalement sur un passage sécurisé, la faute commise par une conductrice qui n'avait pas accordé la priorité à un piéton déjà engagé sur le passage protégé au motif qu'une camionnette lui masquait la vue, la faute commise par un automobiliste qui, ébloui</w:t>
      </w:r>
    </w:p>
    <w:p>
      <w:r>
        <w:t>Tribunal cantonal TC Page 7 de 8 par les phares d'un véhicule venant en sens inverse, n'avait pas pu freiner à temps et avait renversé un piéton qui avait déjà traversé plus de la moitié du passage protégé, la faute commise par une conductrice inattentive qui avait heurté une piétonne engagée sur un passage sécurisé peu après avoir bifurqué à gauche, ou encore la faute commise par un conducteur qui, à l'approche d'un carrefour, alors qu'il réduisait son allure et concentrait son attention sur les véhicules venant de sa gauche, avait remarqué tardivement la piétonne qui avait traversé les trois-quarts d'un passage sécurisé, l'avait heurtée et fait chuter (cf. arrêt TF 1C_425/2012 du 17 décembre 2012 consid. 4.1 et les arrêts citées). 4.3. Dans les circonstances du cas d'espèce, la faute doit être qualifiée de grave. Il est incontestable qu'en violant la priorité de la piétonne, le recourant a mis sérieusement en danger la sécurité d'autrui, au sens de l'art. 16c al. 1 let. a LCR, celle-là ayant chuté et souffert d'un traumatisme crânien et d'un hématome sous galéalfrontal droit. Il est au demeurant notoire que le fait de renverser un piéton peut, dans tous les cas, avoir des conséquences tragiques (cf. arrêt TF 1C_87/2009 précité consid. 4.2). Il y a également lieu de retenir que la faute commise relève d'une négligence grossière, au sens développé par la jurisprudence (cf. ATF 122 II 228 consid. 3b / JdT 1996 I 700 et les références citées; 118 IV 84 consid. 2a). En effet, il faut d'emblée relever que le recourant circulait de nuit en agglomération, à l'heure de la sortie des bureaux. Si un conducteur a le devoir de se montrer particulièrement prudent devant un passage pour piétons lorsque les conditions de route, de circulation et de visibilité sont bonnes, il l'a à plus forte raison dans un cas comme celui-ci; un degré de prudence supérieur au sens de l'art. 33 al. 2 LCR devait donc pouvoir être exigé du recourant. En l'occurrence, ce dernier circulait certes à faible vitesse mais n'a manifestement pas réalisé qu'une voiture arrivant en sens inverse s'était arrêtée devant le passage pour piétons pour laisser passer une piétonne, ce qui met en évidence qu'il ne pouvait pas s'agir d'une inattention de courte durée. En effet, ladite voiture avait laissé à la victime le temps de traverser presque l'entier du passage sécurisé avant que celle-ci ne se fasse heurter. Aucun élément au dossier ne laisse penser que la victime a eu un comportement auquel le recourant ne devait pas s'attendre, celle -ci ne s'étant manifestement pas élancée sur la chaussée d'une manière brusque mais s'y trouvant depuis un certain laps de temps. On souligne en outre qu'un piéton vêtu de sombre, en hiver, par temps de pluie et traversant, à la nuit tombée, en milieu urbain, une chaussée mouillée sur un passage protégé, n'est selon le Tribunal fédéral notoirement pas un événement inhabituel (arrêt TF 1C_87/2009 du 11 août 2009 consid. 4.1). Dans des telles circonstances, la Haute Cour a retenu qu'on se trouvait en présence d'une violation du devoir particulier de prudence, ce qui doit être qualifié de faute grave au sens de l'art. 16c al. 1 let. a LCR (cf. également arrêts TC FR 603 2014 135 du 11 novembre 2014 consid. 4b; 603 2015 12 du 24 mars 2015 consid. 4b). Aucun motif spécifique et aucune circonstance particulière ne permettent de s'écarter dans la présente occurrence de cette jurisprudence. Partant, dans le cas particulier, outre qu'il a mis sérieusement en danger la sécurité d'autrui, le recourant a gravement violé les règles de la circulation. Dans ces circonstances, l'autorité intimée n'a pas violé le droit fédéral en retenant que le recourant avait commis une infraction grave au sens de l'art. 16c al. 1 let. a LCR. 5. Selon l'art. 16c al. 2 let. a LCR, après une infraction grave, le permis d'élève conducteur ou le permis de conduire est retiré pour trois mois au minimum.</w:t>
      </w:r>
    </w:p>
    <w:p>
      <w:r>
        <w:t>Tribunal cantonal TC Page 8 de 8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En fixant à trois mois la durée du retrait, l'autorité intimée s'en est ainsi tenue à la durée minimale prévue par l'art. 16c al. 2 let. a LCR, de sorte qu'une réduction de celle-ci ne saurait entrer en ligne de compte, pour quelque motif que ce soit. 6. Sur le vu de ce qui précède, le recours, mal fondé, doit être rejeté et la décision attaquée confirmée. Les frais de procédure sont mis à la charge du recourant qui succombe (cf. art. 131 CPJA). la Cour arrête : I. Le recours est rejeté. II. Les frais de procédure, par CHF 600.-, sont mis à la charge du recourant. Ils sont compensés par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novembre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