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120 vom 2. Mai 2022</w:t>
      </w:r>
    </w:p>
    <w:p>
      <w:r>
        <w:t>FR Kantonsgericht, 2022-05-02, DE</w:t>
      </w:r>
    </w:p>
    <w:p>
      <w:r>
        <w:rPr>
          <w:b/>
        </w:rPr>
        <w:t xml:space="preserve">Quelle: </w:t>
      </w:r>
      <w:r>
        <w:t>https://mcp.opencaselaw.ch/entscheid/fr_gerichte_603_2021_120</w:t>
      </w:r>
    </w:p>
    <w:p>
      <w:r>
        <w:t>FR: FR_GERICHTE 603 2021 120 du 2 mai 2022</w:t>
      </w:r>
    </w:p>
    <w:p>
      <w:r>
        <w:t>IT: FR_GERICHTE 603 2021 120 del 2 maggio 2022</w:t>
      </w:r>
    </w:p>
    <w:p>
      <w:pPr>
        <w:pStyle w:val="Heading2"/>
      </w:pPr>
      <w:r>
        <w:t>Regeste</w:t>
      </w:r>
    </w:p>
    <w:p>
      <w:r>
        <w:t>Urteil des III. Verwaltungsgerichtshofes des Kantonsgerichts | Landwirtschaft</w:t>
      </w:r>
    </w:p>
    <w:p>
      <w:pPr>
        <w:pStyle w:val="Heading2"/>
      </w:pPr>
      <w:r>
        <w:t>Erwägungen</w:t>
      </w:r>
    </w:p>
    <w:p>
      <w:r>
        <w:rPr>
          <w:b/>
        </w:rPr>
        <w:t>E. 1</w:t>
      </w:r>
    </w:p>
    <w:p>
      <w:r>
        <w:t>Das Kantonsgericht ist zur Beurteilung der Beschwerde zuständig (Art. 88 des Bundesgesetzes vom</w:t>
      </w:r>
    </w:p>
    <w:p>
      <w:r>
        <w:rPr>
          <w:b/>
        </w:rPr>
        <w:t>E. 4</w:t>
      </w:r>
    </w:p>
    <w:p>
      <w:r>
        <w:t>Oktober 1991 über das bäuerliche Bodenrecht [BGBB; SR 211.412.11] in Verbindung mit Art. 11 des kantonalen Ausführungsgesetzes vom 28. September 1993 zum Bundesgesetz über das bäuer- liche Bodenrecht [AGBGBB; SGF 214.2.1] und Art. 114 Abs. 1 lit. a des kantonalen Gesetzes vom 23. Mai 1991 über die Verwaltungsrechtspflege [VRG; SGF 150.1]). Der Beschwerdeführer ist zur Ergreifung des Rechtsmittels legitimiert (Art. 76 VRG). Die Beschwerdefrist wurde eingehalten (Art. 79 Abs. 1 VRG) und der Kostenvorschuss rechtzeitig bezahlt (Art. 128 VRG). Auf die Beschwer- de ist daher einzutreten. 2. 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3. Streitig ist die Qualifikation des Betriebs des Beschwerdeführers als landwirtschaftliches Gewerbe im Sinne des bäuerlichen Bodenrechts. 3.1. Wer ein schutzwürdiges Interesse hat, kann gemäss Art. 84 BGBB von der Bewilligungsbe- hörde insbesondere feststellen lassen, ob ein landwirtschaftliches Gewerbe oder Grundstück dem Realteilungsverbot, dem Zerstückelungsverbot, dem Bewilligungsverfahren oder der Belastungs- grenze unterliegt (lit. a) oder der Erwerb eines landwirtschaftlichen Gewerbes oder Grundstücks bewilligt werden kann (lit. b). Die gesetzliche Aufzählung ist nicht abschliessend; gemäss der bundesgerichtlichen Rechtsprechung können insbesondere auch die Begriffsbestimmungen von Art.</w:t>
      </w:r>
    </w:p>
    <w:p>
      <w:r>
        <w:rPr>
          <w:b/>
        </w:rPr>
        <w:t>E. 6</w:t>
      </w:r>
    </w:p>
    <w:p>
      <w:r>
        <w:t>Die Beschwerde ist abzuweisen und der angefochtene Entscheid ist zu bestätigen.</w:t>
      </w:r>
    </w:p>
    <w:p>
      <w:r>
        <w:t>Kantonsgericht KG Seite 7 von 7</w:t>
      </w:r>
    </w:p>
    <w:p>
      <w:r>
        <w:rPr>
          <w:b/>
        </w:rPr>
        <w:t>E. 7</w:t>
      </w:r>
    </w:p>
    <w:p>
      <w:r>
        <w:t>Die Gerichtskosten, die auf CHF 1'500.- festgelegt werden, sind dem Verfahrensausgang entspre- chend dem Beschwerdeführer aufzuerlegen und mit dem geleisteten Kostenvorschuss zu verrech- nen (Art. 131 VRG; Art. 1 f. des kantonalen Tarifs vom 17. Dezember 1991 der Verfahrenskosten und Entschädigungen in der Verwaltungsjustiz [Tarif VJ; SGF 150.12]). Eine Parteientschädigung ist nicht geschuldet (vgl. Art. 137 VRG). Der Hof erkennt: I. Die Beschwerde wird abgewiesen. II. Die Gerichtskosten von CHF 1'500.-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Entscheids angefochten wird (Art. 148 VRG). Freiburg, 2. Mai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