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107 vom 20. Oktober 2021</w:t>
      </w:r>
    </w:p>
    <w:p>
      <w:r>
        <w:t>FR Kantonsgericht, 2021-10-20, FR</w:t>
      </w:r>
    </w:p>
    <w:p>
      <w:r>
        <w:rPr>
          <w:b/>
        </w:rPr>
        <w:t xml:space="preserve">Quelle: </w:t>
      </w:r>
      <w:r>
        <w:t>https://mcp.opencaselaw.ch/entscheid/fr_gerichte_603_2021_107</w:t>
      </w:r>
    </w:p>
    <w:p>
      <w:r>
        <w:t>FR: FR_GERICHTE 603 2021 107 du 20 octobre 2021</w:t>
      </w:r>
    </w:p>
    <w:p>
      <w:r>
        <w:t>IT: FR_GERICHTE 603 2021 107 del 20 ottobre 2021</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2.1</w:t>
      </w:r>
    </w:p>
    <w:p>
      <w:r>
        <w:t>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15d al. 1 LCR dispose que si l'aptitude à la conduite soulève des doutes, la personne concernée fera l'objet d'une enquête, notamment en cas de conduite en état d'ébriété avec un taux d'alcool dans le sang de 1,6 gramme pour mille ou plus ou un taux d'alcool dans l'haleine de 0.8 milligramme ou plus par litre d'air expiré (let. a). D'une façon générale, la question de savoir si un conducteur est capable de conduire avec sécurité dépend essentiellement de la personnalité de l'intéressé et de l'ensemble des circonstances du cas particulier (ATF 105 Ib 385 consid. 1b et les références citées).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w:t>
      </w:r>
    </w:p>
    <w:p>
      <w:r>
        <w:t>Tribunal cantonal TC Page 5 de 7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w:t>
      </w:r>
    </w:p>
    <w:p>
      <w:r>
        <w:rPr>
          <w:b/>
        </w:rPr>
        <w:t>E. 2.2</w:t>
      </w:r>
    </w:p>
    <w:p>
      <w:r>
        <w:t>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131 II 248 consid. 6.2; arrêt TF 1C_164/2020 du 20 août 2020 consid. 4.3 et les références citées).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Selon la jurisprudence du Tribunal fédéral, la restitution du permis de conduire après un retrait de sécurité en raison d'une dépendance à l'alcool peut être subordonnée à certaines conditions, selon les circonstances, durant plusieurs années.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 TF 1C_164/2020 du 20 août 2020 consid. 4.3 et les références citées). Au demeurant, l'autorité administrative dispose sur ce point d'un important pouvoir d'appréciation (arrêt TF 1C_164/2020 du 20 août 2020 consid. 4.3; ATF 129 II 82 consid. 2.2;). Les conditions après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w:t>
      </w:r>
    </w:p>
    <w:p>
      <w:r>
        <w:rPr>
          <w:b/>
        </w:rPr>
        <w:t>E. 3</w:t>
      </w:r>
    </w:p>
    <w:p>
      <w:r>
        <w:t>En l'occurrence, le recourant s'est vu retirer son permis de conduire pour une durée indéterminée mais de trois mois au minimum par décision de la CMA du 29 octobre 2020. Cette décision est</w:t>
      </w:r>
    </w:p>
    <w:p>
      <w:r>
        <w:t>Tribunal cantonal TC Page 6 de 7 entrée en force, faute d'avoir été attaquée. Suite à la production de l'expertise médicale simplifiée d'aptitude à la conduite du 17 juin 2021, la CMA a décidé de restituer son permis au recourant, sous réserve du respect de certaines conditions, lesquelles ont été posées par les experts. Ceux-ci ont en effet estimé que le recourant disposait d'informations partielles en particulier sur la manière d'évaluer une alcoolémie en fonction des quantités d'alcool ingérées et du temps écoulé. Ils ont préconisé qu'il fasse encore l'objet d'interventions à but socio-éducatif pour apprendre ces notions et pour pouvoir établir des stratégies imparables pour éviter toute récidive. Des interventions également ciblées sur les aspects du respect de la LCR paraissent dans ce contexte importantes. Rappelons à cet égard que si l'autorité administrative met en œuvre une expertise, elle est liée par l'avis de l'expert et ne peut s'en écarter que si elle a de sérieux motifs de le faire (cf.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(cf. PERRIN, Délivrance et retrait du permis de conduire, 1982, p. 128).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(cf. arrêt TF 1C_242/2017 du 14 juillet 2017 consid. 3.2; ATF 134 V 231 consid. 5.1). En l'espèce, les experts, même s'ils ont reconnu l'aptitude à la conduite du recourant, ont estimé que certaines conditions s'imposaient pour les raisons évoquées ci-dessus, notamment afin d'éviter toute récidive. Partant, ils ont proposé que le recourant poursuive son abstinence sur la durée de douze mois au minimum, avec analyses toxicologiques sur prélèvement capillaire tous les trois mois, et qu'il poursuive son suivi alcoologique sur la même durée. La CMA a repris les exigences posées par les experts. En soi, l'intéressé ne conteste pas la validité de l'expertise ni les recommandations des experts. Pour sa part, la CMA n'avait pas non plus de motif de se départir des conclusions de ces derniers qui paraissent au demeurant adéquates et proportionnées au but poursuivi. Comme souligné ci- dessus, il n'appartient en soi pas à l'autorité ou au juge de remettre en cause les conclusions médicales des experts. En particulier, la situation financière du recourant ne saurait avoir un quelconque impact sur les exigences posées à la réadmission à la conduite qui doivent avant tout garantir la sécurité routière. Dans ce contexte, il tombe sous le sens qu'il ne saurait être renoncé aux mesures indiquées par les experts, tests et autres suivis socio-éducatifs, pour des motifs purement financiers, étant souligné qu'en soi, rien n'oblige par ailleurs l'intéressé à s'y soumettre, s'il renonce à la conduite. Sur le vu de ce qui précède, force est d'admettre que la CMA n'a pas excédé ou abusé de son pouvoir d'appréciation en soumettant aux conditions prévues par les experts la restitution du droit du recourant à la conduite. Il s'ensuit le rejet du recours et la confirmation de la décision attaquée.</w:t>
      </w:r>
    </w:p>
    <w:p>
      <w:r>
        <w:t>Tribunal cantonal TC Page 7 de 7 Dès lors qu'il succombe, les frais seront mis à la charge du recourant (cf. art. 131 al. 1 CPJA). la Cour arrête : I. Le recours est rejeté. II. Les frais de justice, fixés à CHF 600.-, sont mis à la charge du recourant et compensés par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octobre 2021/ape/meb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