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85 vom 2. Dezember 2021</w:t>
      </w:r>
    </w:p>
    <w:p>
      <w:r>
        <w:t>FR Kantonsgericht, 2021-12-02, FR</w:t>
      </w:r>
    </w:p>
    <w:p>
      <w:r>
        <w:rPr>
          <w:b/>
        </w:rPr>
        <w:t xml:space="preserve">Quelle: </w:t>
      </w:r>
      <w:r>
        <w:t>https://mcp.opencaselaw.ch/entscheid/fr_gerichte_603_2020_85</w:t>
      </w:r>
    </w:p>
    <w:p>
      <w:r>
        <w:t>FR: FR_GERICHTE 603 2020 85 du 2 décembre 2021</w:t>
      </w:r>
    </w:p>
    <w:p>
      <w:r>
        <w:t>IT: FR_GERICHTE 603 2020 85 del 2 dicembre 2021</w:t>
      </w:r>
    </w:p>
    <w:p>
      <w:pPr>
        <w:pStyle w:val="Heading2"/>
      </w:pPr>
      <w:r>
        <w:t>Regeste</w:t>
      </w:r>
    </w:p>
    <w:p>
      <w:r>
        <w:t>Arrêt de la IIIe Cour administrative du Tribunal cantonal | Strassenverkehr und Transportwesen</w:t>
      </w:r>
    </w:p>
    <w:p>
      <w:pPr>
        <w:pStyle w:val="Heading2"/>
      </w:pPr>
      <w:r>
        <w:t>Erwägungen</w:t>
      </w:r>
    </w:p>
    <w:p>
      <w:r>
        <w:rPr>
          <w:b/>
        </w:rPr>
        <w:t>E. 19</w:t>
      </w:r>
    </w:p>
    <w:p>
      <w:r>
        <w:t>septembre 2019 en tant qu'infraction moyennement grave et au prononcé d'un avertissement et subsidiairement à la réduction du retrait à trois mois. A l'appui de ses conclusions, elle fait valoir une violation de son droit d'être entendue. Sur la base de son propre témoignage, elle conteste par ailleurs la version des faits retenue par le juge pénal et indique que l'enfant C.________ a traversé en dehors du passage piéton. Par conséquent, elle estime qu'il convient de retenir qu'elle n'était pas responsable de l'accident du 19 septembre 2019, le comportement de l'enfant étant suffisamment imprévisible pour rompre le lien de causalité. Si une telle hypothèse ne devait pas être retenue, elle soutient alors que sa faute doit être qualifiée de moyennement grave seulement puisqu'elle avait ralenti à l'approche du passage piéton. De plus, au vu des blessures de l'enfant, que la recourante qualifie de minimes voire insignifiantes, elle affirme que la mise en danger ne saurait être qualifiée de grave. Partant, c'est une infraction moyennement grave qui doit être retenue et la sanction adaptée en conséquence. En date du 5 août 2020, la recourante dépose une requête d'assistance judiciaire totale. Dans ses observations du 2 août 2020, la CMA conclut au rejet du recours en se référant à la décision du 14 mai 2020 ainsi qu'aux autres pièces du dossier. Par courrier du 18 septembre 2020, la recourante requiert qu'un délai lui soit imparti pour produire le témoignage des patrouilleurs présents le jour de l'accident, requête renouvelée dans ses courriers du 15 décembre 2020 et du 25 janvier 2021. Un délai au 24 septembre 2021 lui a été octroyé pour déposer d'éventuelles observations complémentaires, délai prolongé jusqu'au 2 novembre 2021. Par courrier du 2 novembre 2021, la recourante a requis une ultime prolongation de délai de cinq jours. Il sera fait état des arguments, développés par les parties à l'appui de leurs conclusions dans les considérants de droit du présent arrêt, pour autant que cela soit utile à la solution du litige.</w:t>
      </w:r>
    </w:p>
    <w:p>
      <w:r>
        <w:t>Tribunal cantonal TC Page 4 de 12 considérant en droit 1. 1.1. Déposé dans le délai et les formes prescrits, le présent recours est recevable en vertu des art. 12 de la loi fribourgeoise du 12 novembre 1981 d'application de la législation fédérale sur la circulation routière (LALCR; RSF 781.1) et art. 79 à 81 du code fribourgeois du 23 mai 1991 de procédure et de juridiction administrative (CPJA; RSF 150.1).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Il convient en préambule de constater que la critique de la recourante relative à son droit d'être entendue ne tient pas, dans la mesure où l'avis d'ouverture de procédure du 6 mai 2010 se rapporte à l'excès de vitesse commis le 9 mars 2020 et non à l'accident du 19 septembre 2019, lequel faisait l'objet de l'avis d'ouverture de procédure du 14 novembre 2019. En outre, la recourante a eu l'occasion de faire usage de son droit d'être entendue, puisqu'elle s'est déterminée par courrier électronique le 10 mai 2020, soit quatre jours ouvrables avant la décision attaquée. 3. 3.1.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consid. 3a). Dans cette situation, la personne impliquée est tenue, en vertu des règles de la bonne foi, de faire valoir ses moyens dans le cadre de la procédure pénale, le cas échéant en épuisant les voies de recours à sa disposition.</w:t>
      </w:r>
    </w:p>
    <w:p>
      <w:r>
        <w:t>Tribunal cantonal TC Page 5 de 12 Elle ne peut pas attendre la procédure administrative pour exposer ses arguments (ATF 123 II 97 consid. 3c/aa; 121 II 214 consid. 3a; arrêt TF 6A.82/2006 du 27 décembre 2006). Toutefois, l'autorité administrative n'est pas liée par la qualification juridique et peut s'écarter du jugement pénal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3.2. En l'espèce, concernant l'infraction du 19 septembre 2019, l'autorité pénale a retenu que la recourante avait heurté une piétonne sur un passage pour piétons. Cette ordonnance est entrée en force. Partant, elle liait l'autorité intimée - qui avait d'ailleurs suspendu la procédure jusqu'à droit connu sur la procédure pénale - en particulier pour déterminer les faits sur lesquels se fonder. La recourante a été rendue explicitement attentive à son obligation de défendre tous ses droits et d'invoquer tous ses arguments sur le plan pénal. Aussi, si elle entendait contester les faits précités, elle aurait dû faire valoir ses arguments dans le cadre de la procédure pénale. Les arguments invoqués dans le cadre de son recours ne sont pas de nature à remettre en cause l'état de fait retenu, la recourante se fondant, en sus de son propre témoignage lors de son audition par la police, sur les témoignages des patrouilleurs qu'elle n'a jamais été en mesure de produire. Elle se contente ainsi d'opposer son témoignage à celui de sa victime, témoignage connu et apprécié par le juge pénal. Aucun motif ne permet à la Cour de céans de se distancier des faits tels qu'établis par le juge pénal. Il faut dès lors considérer comme établi que la recourante n'a pas fait preuve de l'attention nécessaire à l'approche d'un passage pour piétons situé près d'une école et qu'elle a percuté une enfant déjà engagée sur le passage sécurisé. 4. 4.1.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 teneur de l'art. 33 al. 2 LCR, avant les passages pour piétons, le conducteur circulera avec une prudence particulière et, au besoin, s'arrêtera pour laisser la priorité aux piétons qui se trouvent déjà sur le passage ou s'y engagent.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122 IV 225 consid. 2b). La "prudence particulière"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w:t>
      </w:r>
    </w:p>
    <w:p>
      <w:r>
        <w:t>Tribunal cantonal TC Page 6 de 12 manifeste la volonté (arrêt TF 1C_425/2012 du 17 décembre 2012 consid. 3.2 et les références citées).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(arrêts TF 1C_504/2011 du 17 avril 2012 consid. 2.4; 6B_493/2011 du 12 décembre 2011 consid. 4.2.2; 6B_1070/2009 du 22 mars 2010 consid. 3.2; 6S.96/2006 du 3 avril 2006 consid. 2.2, JdT 2006 I 439). L'art. 3 al. 1, 1ère et 2ème phrases, de l'ordonnance du 13 novembre 1962 sur la circulation routière (OCR; RS 741.11) précise que le conducteur vouera son attention à la route et à la circulation. Il évitera toute occupation qui rendrait plus difficile la conduite du véhicule. L'art. 6 al. 1 OCR précise quant à lui qu'avant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Code suisse de la circulation routière commentée, 4e éd. 2015, art. 31 LCR n. 2 ss). Par ailleurs,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(BUSSY/RUSCONI, art. 32 LCR n. 1.1). 4.2. Au des faits établis, la recourante a enfreint ces dispositions, de sorte qu'une mesure administrative devait être prononcée à son endroit. 5. 5.1 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w:t>
      </w:r>
    </w:p>
    <w:p>
      <w:r>
        <w:t>Tribunal cantonal TC Page 7 de 12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1C_250/2017 du 7 septembre 2017 consid. 2.2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(MIZEL, Les nouvelles dispositions légales sur le retrait du permis de conduire, in RDAF 2004, p. 376).</w:t>
      </w:r>
    </w:p>
    <w:p>
      <w:r>
        <w:t>Tribunal cantonal TC Page 8 de 12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et les références citées). Subjectivement, l'art. 90 al. 2 LCR exige un comportement sans scrupules ou gravement contraire aux règles de la circulation, découlant à tout le moins d'une négligence grossière (ATF 118 IV 84 consid. 2a). 5.2. D'après la jurisprudence, la faute d'un conducteur qui a heurté une personne engagée sur un passage pour piétons en ne s'arrêtant pas à temps ne peut pas être qualifiée de légère (cf. arrêts TF 4A_239/2015 du 6 octobre 2015 consid. 2.3; 1C_425/2012 du 17 décembre 2012 consid. 4.1; 1C_87/2009 du 11 août 2009 consid. 4.3). La jurisprudence a qualifié de grave la faute commise par un conducteur qui, circulant à 30 km/h dans une zone à important trafic piétonnier et après avoir contourné un îlot de tram, avait renversé mortellement une piétonne à quelques mètres d'un passage pour piétons, la faute commise par un motocycliste qui, de nuit et sur une chaussée mouillée, n'avait remarqué que tardivement un piéton sur un passage sécurisé et l'avait percuté avec sa moto, la faute commise par un conducteur qui, ébloui plusieurs fois par le soleil, a continué de circuler à 55 km/h à l'intérieur d'une localité, en particulier sur un passage pour piétons et ce sans visibilité, ou encore la double infraction commise par un automobiliste qui, n'ayant pas adapté sa vitesse aux circonstances, avait violé la priorité à un piéton et l'avait heurté (cf. arrêts TF 1C_87/2009 précité consid. 4.3; 1C_425/2012 du 17 décembre 2012 consid. 4.1 et les arrêts cités). Ont en revanche été qualifiées de moyennement grave la faute commise par un conducteur qui avait démarré au passage au vert du signal lumineux, sans prendre garde au feu orange clignotant et avait renversé un piéton qui traversait normalement sur un passage sécurisé, la faute commise par une conductrice qui n'avait pas accordé la priorité à un piéton déjà engagé sur le passage protégé au motif qu'une camionnette lui masquait la vue, la faute commise par un automobiliste qui, ébloui par les phares d'un véhicule venant en sens inverse, n'avait pas pu freiner à temps et avait renversé un piéton qui avait déjà traversé plus de la moitié du passage protégé, la faute commise par une conductrice inattentive qui avait heurté une piétonne engagée sur un passage sécurisé peu après avoir bifurqué à gauche, ou encore la faute commise par un conducteur qui, à l'approche d'un carrefour, alors qu'il réduisait son allure et concentrait son attention sur les véhicules venant de sa gauche, avait remarqué tardivement la piétonne qui avait traversé les trois- quarts d'un passage sécurisé, l'avait heurtée et fait chuter (cf. arrêt TF 1C_425/2012 du 17 décembre 2012 consid. 4.1 et les arrêts citées). 5.3. Dans les circonstances du cas d'espèce, la faute doit être qualifiée de grave. Il est incontestable qu'en violant la priorité de la piétonne, la recourante a mis sérieusement en danger la sécurité d'autrui, au sens de l'art. 16c al. 1 let. a LCR. Le fait que celle-ci n'ait pas été grièvement blessée relève du pur cas fortuit et ne saurait profiter à la recourante. Il est au</w:t>
      </w:r>
    </w:p>
    <w:p>
      <w:r>
        <w:t>Tribunal cantonal TC Page 9 de 12 demeurant notoire que le fait de renverser un piéton peut, dans tous les cas, avoir des conséquences tragiques (cf. arrêt TF 1C_87/2009 précité consid. 4.2). Il y a également lieu de retenir que la faute commise relève d'une négligence grossière, au sens développé par la jurisprudence (cf. ATF 122 II 228 consid. 3b / JdT 1996 I 700 et les références citées; 118 IV 84 consid. 2a). En effet, il faut d'emblée relever que la recourante circulait devant une école, à l'heure de la reprise des cours. Si un conducteur a le devoir de se montrer particulièrement prudent devant un passage pour piétons lorsque les conditions de route, de circulation et de visibilité sont bonnes, il l'a à plus forte raison dans un cas comme celui-ci; un degré de prudence supérieur au sens de l'art. 33 al. 2 LCR pouvait donc être exigé de la recourante. En l'occurrence, cette dernière avait certes ralenti, selon ses dires, mais manifestement pas suffisamment - alors pourtant qu'elle reconnaît avoir remarqué l'enfant qui souhaitait traverser - puisqu'elle n'a pas réussi à stopper son véhicule et l'a heurtée. Or, qu'une enfant, vêtue de couleurs vives, souhaite traverser la route devant une école n'est pas un événement inhabituel dont pourrait se prévaloir la recourante. Il convient en outre de rappeler que les art. 32 al. 1 et 33 al. 1 et 2 LCR, ainsi que les art. 4 al. 1 et 6 al. 2 OCR sont des règles fondamentales qui sont essentielles pour garantir la sécurité de la circulation routière (cf. arrêt TF 6B_1318/2019 du 23 juin 2021 consid. 2.3.3 et les références citées). Dans de telles circonstances, il convient de retenir qu'on se trouvait en présence d'une violation du devoir particulier de prudence, ce qui doit être qualifié de faute grave au sens de l'art. 16c al. 1 let. a LCR. Aucun motif spécifique et aucune circonstance particulière ne vient atténuer la faute de la recourante. Partant, outre qu'elle a mis sérieusement en danger la sécurité d'autrui, la recourante a gravement violé les règles de la circulation. Sur le vu de ce qui précède, l'autorité intimée n'a pas violé le droit fédéral en retenant que la recourante avait commis une infraction grave au sens de l'art. 16c al. 1 let. a LCR dans le cadre de l'accident du19 septembre 2019. 5.4. Par ailleurs, la recourante ne conteste pas la qualification des infractions du 1er octobre 2019 et du 9 mars 2020, à savoir la qualification d'infraction moyennement grave pour avoir commis un excès de vitesse de 24 km/h en localité et de légère pour avoir manipulé son téléphone portable en conduisant. 6. 6.1. Au sens de l'art. 16a al. 3 LCR, l’auteur d’une infraction légère fait l’objet d’un avertissement si, au cours des deux années précédentes, le permis de conduire ne lui a pas été retiré et qu’aucune autre mesure administrative n’a été prononcée. En vertu de l'art. 16b al. 2 let. a LCR, après une infraction moyennement grave, le permis d’élève conducteur ou le permis de conduire est retiré pour un mois au minimum. Selon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w:t>
      </w:r>
    </w:p>
    <w:p>
      <w:r>
        <w:t>Tribunal cantonal TC Page 10 de 12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Selon l'art. 49 al. 1 1ère phrase du code pénal du 21 décembre 1937 (CP; RS 311.0), si, en raison d'un ou de plusieurs actes, l'auteur remplit les conditions de plusieurs peines de même genre, le juge le condamne à la peine de l'infraction la plus grave et l'augmente dans une juste proportion. Jurisprudence et doctrine admettent l'application par analogie de l'art. 49 CP en droit administratif général, aux fins de respecter le principe de la proportionnalité (SJ 2008 I 49, 53; TANQUEREL, Manuel de droit administratif, 2011, n° 1216), notamment aussi lorsque plusieurs causes de retrait de permis de conduire sont en concours (ATF 108 Ib 258 consid. 2a; RÜTSCHE/WEBER, Theorie und Praxis des Führerausweisentzugs, in Journées du droit de la circulation routière 2012, p. 151), respectivement en cas de concours rétrospectif, lorsque les infractions qui doivent être jugées ont été commises avant le prononcé d'une décision de retrait antérieur. L'autorité administrative doit prononcer une mesure pour l'infraction la plus grave et en prolonger la durée équitablement. Sur la base de tous les éléments à prendre en compte, elle fixe ainsi une mesure d'ensemble, comme prévu par l'art. 49 al. 1 CP (MIZEL, p. 547 s). Soulignons que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1982, p. 190 et la jurisprudence citée). 6.2. En l'occurrence, l'autorité intimée a fixé à quatre mois la durée du retrait, s'écartant ainsi de la durée minimale légale, fixée à trois mois par l'art. 16c al. 2 let. a LCR. Rappelons qu'elle était amenée à statuer par une seule décision sur un concours d'infractions. D'emblée, force est de relever qu'au vu du cumul de ces dernières, une durée de retrait limitée au minimum légal ne pouvait manifestement pas entrer en ligne de compte. L'accident causé par le non-respect de la priorité piétonne devait déjà entraîner le retrait du permis pour une durée de trois mois au moins, en application de l'art. 16c al. 2 let. a LCR. A cela doit s'ajouter un excès de vitesse de 24 km/h, marge de sécurité déduite, en localité, sans parler de la manipulation du téléphone portable pour y introduire une adresse. L'un dans l'autre, il apparaît dès lors que la durée de quatre mois fixée par la CMA s'avère même clémente. Sur le vu de ce qui précède, en prononçant comme mesure d'ensemble un retrait du permis de la durée de quatre mois, la CMA n'a pas commis d'excès ou d'abus de son vaste pouvoir d'appréciation. Elle a également rappelé à la recourante la teneur de l'art. 17 al. 1 LCR, qui permet la restitution anticipée permis - en l'occurrence après trois mois de retrait - lorsque la personne</w:t>
      </w:r>
    </w:p>
    <w:p>
      <w:r>
        <w:t>Tribunal cantonal TC Page 11 de 12 concernée a suivi un des cours d'éducation routière reconnus par l'autorité. Partant, sa décision échappe à la critique. 7. 7.1.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7.2.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et les références citées). 7.3. Sur le vu de ce qui précède, il y a lieu d'admettre que le recours était d'emblée dénué de toute chance de succès et de rejeter la requête y relative, sans qu'il soit nécessaire d'examiner encore la condition de la charge trop lourde. Cependant, vu la situation financière difficile de la recourante, il est renoncé au prélèvement des frais de procédure, conformément à l’art. 129 CPJA. (dispositif en page suivante)</w:t>
      </w:r>
    </w:p>
    <w:p>
      <w:r>
        <w:t>Tribunal cantonal TC Page 12 de 12 la Cour arrête : I. Le recours (603 2020 85) est rejeté. II. La requête d'assistance judiciaire totale (603 2020 113) est rejetée. III. Il n'est exceptionnellement pas perçu de frais de procédure. IV. Il n'est pas alloué de dépens. V. Notification. Cette décision peut faire l'objet d'un recours auprès du Tribunal fédéral, à Lausanne, dans les 30 jours dès sa notification. Fribourg, le 2 décembre 2021/mju/meb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