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45 vom 16. Juni 2020</w:t>
      </w:r>
    </w:p>
    <w:p>
      <w:r>
        <w:t>FR Kantonsgericht, 2020-06-16, DE</w:t>
      </w:r>
    </w:p>
    <w:p>
      <w:r>
        <w:rPr>
          <w:b/>
        </w:rPr>
        <w:t xml:space="preserve">Quelle: </w:t>
      </w:r>
      <w:r>
        <w:t>https://mcp.opencaselaw.ch/entscheid/fr_gerichte_603_2020_45</w:t>
      </w:r>
    </w:p>
    <w:p>
      <w:r>
        <w:t>FR: FR_GERICHTE 603 2020 45 du 16 juin 2020</w:t>
      </w:r>
    </w:p>
    <w:p>
      <w:r>
        <w:t>IT: FR_GERICHTE 603 2020 45 del 16 giugno 2020</w:t>
      </w:r>
    </w:p>
    <w:p>
      <w:pPr>
        <w:pStyle w:val="Heading2"/>
      </w:pPr>
      <w:r>
        <w:t>Regeste</w:t>
      </w:r>
    </w:p>
    <w:p>
      <w:r>
        <w:t>Arrêt de la IIIe Cour administrative du Tribunal cantonal | Strassenverkehr und Transportwesen</w:t>
      </w:r>
    </w:p>
    <w:p>
      <w:pPr>
        <w:pStyle w:val="Heading2"/>
      </w:pPr>
      <w:r>
        <w:t>Erwägungen</w:t>
      </w:r>
    </w:p>
    <w:p>
      <w:r>
        <w:rPr>
          <w:b/>
        </w:rPr>
        <w:t>E. 1.1</w:t>
      </w:r>
    </w:p>
    <w:p>
      <w:r>
        <w:t>Le recours, interjeté dans le délai et les formes prescrits par les art. 79 ss du code fribourgeois du 23 mai 1991 de procédure et de juridiction administrative (CPJA; RSF 150.1), est recevable à la forme. La Cour de céans peut dès lors en examiner les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w:t>
      </w:r>
    </w:p>
    <w:p>
      <w:r>
        <w:t>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de la loi du 19 décembre 1958 sur la circulation routière (LCR; RS 741.01)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(cf. RJN 1990 p. 203 consid. 2a; cf. ég. ATF 103 Ib 106).</w:t>
      </w:r>
    </w:p>
    <w:p>
      <w:r>
        <w:rPr>
          <w:b/>
        </w:rPr>
        <w:t>E. 2.1</w:t>
      </w:r>
    </w:p>
    <w:p>
      <w:r>
        <w:t>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KNAPP, Précis de droit administratif, 4e éd., 1991, n. 38). S'agissant de questions purement juridiques, comme celle de la gravité de la faute, l'autorité administrative n'est pas liée par l'appréciation du juge pénal (cf. ATF 115 Ib 163 consid. 2a; arrêts TC FR 3A 2006 84 du</w:t>
      </w:r>
    </w:p>
    <w:p>
      <w:r>
        <w:rPr>
          <w:b/>
        </w:rPr>
        <w:t>E. 2.2</w:t>
      </w:r>
    </w:p>
    <w:p>
      <w:r>
        <w:t>En l'espèce, les faits ont été établis au terme d'une procédure pénale et l'ordonnance pénale, non contestée, est entrée en force. La CMA a explicitement rendu le recourant attentif au Tribunal cantonal TC Page 4 de 7 fait qu'elle serait liée par les constatations du Juge pénal. Elle a attiré son attention sur son obligation de défendre tous ses droits et d'invoquer tous ses arguments sur le plan pénal. L'autorité l'a en outre également informé qu'il lui incombait de former opposition ou encore recours contre une ordonnance ou un jugement pénal qu'il n'accepterait pas. Eu égard au principe de l'unité et de la sécurité du droit, le recourant ne peut plus contester dans la présente procédure administrative les faits établis au terme de cette procédure pénale. Ceux-ci doivent dès lors être considérés comme établis. C'est à juste titre dès lors que l'autorité intimée a retenu que le recourant avait effectué un dépassement avec des manœuvres dangereuses et qu'il avait ensuite freiné et s'était arrêté de manière inopinée sans égard à la voiture qui le suivait.</w:t>
      </w:r>
    </w:p>
    <w:p>
      <w:r>
        <w:rPr>
          <w:b/>
        </w:rPr>
        <w:t>E. 3.1</w:t>
      </w:r>
    </w:p>
    <w:p>
      <w:r>
        <w:t>L'art. 37 al. 1 LCR prescrit que le conducteur qui veut s'arrêter aura égard, dans la mesure du possible, aux véhicules qui le suivent. Selon l'art. 26 al. 1 LCR, chacun doit se comporter, dans la circulation, de manière à ne pas gêner ni mettre en danger ceux qui utilisent la route conformément aux règles établies.</w:t>
      </w:r>
    </w:p>
    <w:p>
      <w:r>
        <w:rPr>
          <w:b/>
        </w:rPr>
        <w:t>E. 3.2</w:t>
      </w:r>
    </w:p>
    <w:p>
      <w:r>
        <w:t>Par son comportement, le recourant a à l'évidence enfreint ces règles élémentaires de la sécurité routière, de sorte qu'une mesure administrative devait être prononcée à son endroit. La seule question qui se pose est celle de savoir si la CMA a violé le droit ou commis un excès ou un abus de son pouvoir d'appréciation en qualifiant de grave – à l'instar du Juge pénal – l'infraction commise.</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Tribunal cantonal TC Page 5 de 7 danger de la sécurité, mais aussi en tenant compte des antécédents du conducteur comme automobiliste (cf. art. 16a al. 3 LCR; cf. également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l'ancien art. 90 ch. 2 LCR, désormais art. 90 al. 2 LCR (cf. MIZEL, Les nouvelles dispositions légales sur le retrait du permis de conduire, in RDAF 2004, p. 395). Le Tribunal fédéral tient ces notions pour identiques à tous les égards (cf.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(cf. ATF 122 II 228 consid. 3b / JdT 1996 I 700 et les références citées). Subjectivement, l'art. 90 al. 2 LCR exige un comportement sans scrupules ou gravement contraire aux règles de la circulation, découlant à tout le moins d'une négligence grossière (cf. ATF 118 IV 84 consid. 2a).</w:t>
      </w:r>
    </w:p>
    <w:p>
      <w:r>
        <w:rPr>
          <w:b/>
        </w:rPr>
        <w:t>E. 4.2</w:t>
      </w:r>
    </w:p>
    <w:p>
      <w:r>
        <w:t>En l'espèce, il est établi que le recourant a délibérément adopté un comportement inadmissible au volant et qu'il a à l'évidence créé un danger sérieux pour la sécurité des autres usagers de la route. Dans ces conditions, le fait qu'il n'y ait pas eu de blessé relève du cas fortuit qui ne saurait profiter au recourant, la création d'un danger sérieux pour la sécurité d'autrui étant au demeurant déjà donnée en cas de mise en danger abstraite accrue (cf. ATF 122 II 228 consid. 3b / JdT 1996 I 700 et les références citées). Incontestablement, la condition objective que Tribunal cantonal TC Page 6 de 7 constitue une mise en danger sérieuse, au sens de l'art. 16c al. 1 let. a LCR, est en l'espèce réalisée. Par ailleurs, le recourant a fait preuve d'un comportement sans scrupule, gravement contraire aux règles de la circulation et particulièrement blâmable dans la mesure où il a délibérément adopté un comportement dont le caractère dangereux ne pouvait pas lui échapper. La condition subjective de la faute grave, telle que l'exige l'art. 16c al. 1 let. a LCR, est manifestement remplie en l'occurrence. Au vu des motifs qui précèdent, il faut admettre, à l'instar du Juge pénal, que le comportement du recourant, bien loin de constituer une violation légère des règles de la circulation, remplit indéniablement les conditions de l'infraction grave.</w:t>
      </w:r>
    </w:p>
    <w:p>
      <w:r>
        <w:rPr>
          <w:b/>
        </w:rPr>
        <w:t>E. 5.1</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 permis, a été introduite dans la loi par souci d'uniformité. Le législateur a ainsi entendu exclure expressément la possibilité, ouverte par la jurisprudence sous l'ancien droit, de réduire la durée minimale du retrait en présence de circonstances particulières (cf. FF 1999 IV 4106, 4131; ATF 132 II 234 consid. 2.3).</w:t>
      </w:r>
    </w:p>
    <w:p>
      <w:r>
        <w:rPr>
          <w:b/>
        </w:rPr>
        <w:t>E. 5.2</w:t>
      </w:r>
    </w:p>
    <w:p>
      <w:r>
        <w:t>En application de l'art. 16c al. 2 let. a LCR, en fixant à trois mois la durée du retrait du permis du recourant, l'autorité intimée s'en est tenue au minimum légal. Cette durée ne peut être réduite, pour quelque motif que ce soit (cf. ATF 132 II 234 consid. 2.3). Partant, le fait que le recourant a besoin de son permis pour se rendre au travail et pour pouvoir assumer le droit de visite de son enfant ne peut pas conduire à une réduction de la sanction.</w:t>
      </w:r>
    </w:p>
    <w:p>
      <w:r>
        <w:rPr>
          <w:b/>
        </w:rPr>
        <w:t>E. 6</w:t>
      </w:r>
    </w:p>
    <w:p>
      <w:r>
        <w:t>Pour l'ensemble des motifs qui précèdent, la décision de la CMA doit être confirmée et le recours rejeté.</w:t>
      </w:r>
    </w:p>
    <w:p>
      <w:r>
        <w:rPr>
          <w:b/>
        </w:rPr>
        <w:t>E. 7</w:t>
      </w:r>
    </w:p>
    <w:p>
      <w:r>
        <w:t>Les frais de la présente procédure, fixés à CHF 600.-, sont mis à la charge du recourant; ils sont compensés avec l'avance de frais du même montant. (dispositif en page suivante) Tribunal cantonal TC Page 7 de 7 la Cour arrête : I. Le recours est rejeté. Partant, la décision de la CMA du 19 mars 2020 est confirmée. II. Les frais de procédure, fixés à CHF 600.-, sont mis à la charge du recourant; ils sont compensés avec l'avance de frais versée. III. Notification.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juin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