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20 vom 6. April 2020</w:t>
      </w:r>
    </w:p>
    <w:p>
      <w:r>
        <w:t>FR Kantonsgericht, 2020-04-06, DE</w:t>
      </w:r>
    </w:p>
    <w:p>
      <w:r>
        <w:rPr>
          <w:b/>
        </w:rPr>
        <w:t xml:space="preserve">Quelle: </w:t>
      </w:r>
      <w:r>
        <w:t>https://mcp.opencaselaw.ch/entscheid/fr_gerichte_603_2020_20</w:t>
      </w:r>
    </w:p>
    <w:p>
      <w:r>
        <w:t>FR: FR_GERICHTE 603 2020 20 du 6 avril 2020</w:t>
      </w:r>
    </w:p>
    <w:p>
      <w:r>
        <w:t>IT: FR_GERICHTE 603 2020 20 del 6 aprile 2020</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t>Kantonsgericht KG Seite 3 von 6</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Das Strassenverkehrsgesetz vom 19. Dezember 1958 (SVG; SR 741.01) unterscheidet zwischen der leichten (Art. 16a SVG), mittelschweren (Art. 16b SVG) und schweren Widerhand- lung (Art. 16c SVG). Laut Art. 16a Abs. 1 lit. a SVG begeht eine leichte Widerhandlung,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Auffangtatbe- 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Einzelfalls ab (BGE 135 II 138 E. 2.2.2 f.; 131 IV 133 E. 3.2).</w:t>
      </w:r>
    </w:p>
    <w:p>
      <w:r>
        <w:rPr>
          <w:b/>
        </w:rPr>
        <w:t>E. 3.2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 me von den tatsächlichen Feststellungen des Strafrichters nur abweichen darf, wenn sie Tatsa- chen feststellt und ihrem Entscheid zugrunde legt, die dem Strafrichter unbekannt waren, wenn sie zusätzliche Beweise erhebt oder wenn der Strafrichter bei der Rechtsanwendung auf den Sachver- halt nicht alle Rechtsfragen abgeklärt, namentlich die Verletzung bestimmter Verkehrsregeln über- 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 ten persönlich einvernommen hat (BGE 136 II 447 E. 3.1; 124 II 103 E. 1c/aa und bb). Auch in diesem Zusammenhang hat er jedoch den eingangs genannten Grundsatz (Vermeiden wider- sprüchlicher Urteile) gebührend zu berücksichtigen (Urteil BGer 1C_424/2012 vom 14. Januar 2013 E. 2.3).</w:t>
      </w:r>
    </w:p>
    <w:p>
      <w:r>
        <w:rPr>
          <w:b/>
        </w:rPr>
        <w:t>E. 3.3</w:t>
      </w:r>
    </w:p>
    <w:p>
      <w:r>
        <w:t>Vorliegend ist gemäss dem Strafbefehl vom 19. Dezember 2019 in sachverhaltlicher Hinsicht erstellt, dass der Beschwerdeführer am 19. Dezember 2019 auf der Autobahn einen ungenügen- den Abstand auf das vor ihm fahrende Fahrzeug eingehalten hat (Nachfahrabstand von 0,8 Sekunden oder weniger). Dieser Strafbefehl ist in Rechtskraft erwachsen, obwohl der Beschwerdeführer wusste, dass ein Administrativverfahren gegen ihn eröffnet wird.</w:t>
      </w:r>
    </w:p>
    <w:p>
      <w:r>
        <w:t>Kantonsgericht KG Seite 4 von 6 Auf diesen Sachverhalt ist daher abzustellen, zumal er vom Beschwerdeführer auch nicht bestrit- ten wird.</w:t>
      </w:r>
    </w:p>
    <w:p>
      <w:r>
        <w:rPr>
          <w:b/>
        </w:rPr>
        <w:t>E. 4.1</w:t>
      </w:r>
    </w:p>
    <w:p>
      <w:r>
        <w:t>Nach Art. 34 Abs. 4 SVG ist gegenüber allen Strassenbenützern ein ausreichender Abstand zu wahren, namentlich beim Kreuzen und Überholen sowie beim Neben- und Hintereinan- derfahren. Der Fahrzeugführer hat beim Hintereinanderfahren einen ausreichenden Abstand zu wahren, so dass er auch bei überraschendem Bremsen des voranfahrenden Fahrzeugs rechtzeitig halten kann (Art. 12 Abs. 1 der Verkehrsregelnverordnung vom 13. November 1962 [VRV; SR 741.11]). Was unter einem "ausreichenden Abstand" im Sinne von Art. 34 Abs. 4 SVG zu verstehen ist, hängt von den gesamten Umständen ab, namentlich von den Strassen-, Verkehrs- und Sichtverhältnissen sowie der Beschaffenheit der beteiligten Fahrzeuge. Im Sinne von Faustre- geln stellt die Rechtsprechung für Personenwagen auf die Regel "halber Tacho" (entsprechend 1,8 Sekunden) und die "Zwei-Sekunden"-Regel ab (zum Ganzen BGE 131 IV 133 E. 3.1 mit Hinweisen). Diese Distanz entspricht ungefähr der Anhaltestrecke bei plötzlichem ordnungsgemäs- sem Bremsen und Anhalten des vorausfahrenden Personenwagens (BGE 104 104 IV 192 E. 2b). Für die Beurteilung, ob eine grobe Verkehrsregelverletzung im Sinne von Art. 90 Abs. 2 SVG anzu- nehmen ist – welche im Administrativverfahren grundsätzlich einer schweren Widerhandlung gegen die Verkehrsvorschriften entspricht –, wird als Richtschnur die Regel "1/6-Tacho" bzw. Abstand von 0,6 Sekunden herangezogen (BGE 131 IV 133 E. 3.2.2; Urteil BGer 6B_1030/2010 vom 22. März 2011 E. 3.3.2 mit Hinweisen).</w:t>
      </w:r>
    </w:p>
    <w:p>
      <w:r>
        <w:rPr>
          <w:b/>
        </w:rPr>
        <w:t>E. 4.2</w:t>
      </w:r>
    </w:p>
    <w:p>
      <w:r>
        <w:t>Vorliegend hat der Beschwerdeführer einen Sicherheitsabstand von lediglich 0,7 Sekunden bzw. gemäss dem Strafbefehl von weniger als 0,8 Sekunden eingehalten. Damit hat er die erwähn- te "Zwei-Sekunden-"Regel klar nicht erfüllt. Vielmehr ist bei dem von ihm eingehaltenen Sicher- heitsabstand nur knapp nicht von einer schweren Widerhandlung gegen die Verkehrsvorschriften auszugehen, welche wie erwähnt in der Regel anzunehmen ist, wenn ein Abstand von 0,6 Sekun- den oder weniger eingehalten wird. Auch wird in der Lehre dargelegt, dass ausserorts und auf Autobahnen bei günstigen Verhältnissen grundsätzlich bei Abständen zwischen 0,6 und 1,2 Sekunden auf eine mittelschwere Widerhandlung zu schliessen sei (siehe WEISSENBERGER, Kommentar Strassenverkehrsgesetz und Ordnungsbussengesetz, 2. Aufl. 2015, Art. 16c N. 17). In casu herrschte auf der Autobahn, wie sich aus den im Dossier befindlichen Aufnahmen ergibt, dichter Verkehr. Zudem sind die Geschwindigkeiten auf der Autobahn hoch. Auch gibt es vorlie- gend keine Hinweise, dass andere Fahrzeuglenker für die Widerhandlung des Beschwerdeführers ursächlich waren, zumal wie erwähnt auf den im Strafbefehl etablierten Sachverhalt abgestellt werden kann. Damit ist die Vorinstanz zu Recht davon ausgegangen, dass der Beschwerdeführer eine mittel- schwere Widerhandlung im Sinne von Art. 16b Abs. 1 lit. a SVG begangen hat – was der Beschwerdeführer überdies in seiner Beschwerde auch gar nicht bestreitet.</w:t>
      </w:r>
    </w:p>
    <w:p>
      <w:r>
        <w:rPr>
          <w:b/>
        </w:rPr>
        <w:t>E. 5.1</w:t>
      </w:r>
    </w:p>
    <w:p>
      <w:r>
        <w:t>Der Beschwerdeführer bringt in seiner Beschwerde im Wesentlichen vor, dass er für die Führung seines Betriebes (Reinigungsbranche) auf den Führerausweis angewiesen sei. Er müsse zum Akquirieren von Kunden persönlich bei diesen vorbeigehen, zudem müsse er Geräte, Fahr- zeuge etc. zu seinen Mitarbeitern vor Ort bringen, um einen reibungslosen Service für seine Kunden zu gewährleisten; ein Entzug des Führerausweises hätte damit für ihn sowie für seinen Betrieb dramatische Konsequenzen. In seinem Schreiben vom 26. März 2020 legte er zusätzlich</w:t>
      </w:r>
    </w:p>
    <w:p>
      <w:r>
        <w:t>Kantonsgericht KG Seite 5 von 6 dar, dass von der aktuellen Krisensituation (durch den Coronavirus) auch die Reinigungsbranche betroffen sei. Er erhalte keine neuen Aufträge, wenn er nicht mobil sein könne, und müsse sein Geschäft früher oder später schliessen. Aus diesen Argumenten, welche im Ergebnis auf die Reduzierung der Dauer des Führerausweis- entzuges bzw. auf dessen Verzicht abzielen, kann der Beschwerdeführer – wie nachfolgend darge- legt wird – nichts zu seinen Gunsten ableiten.</w:t>
      </w:r>
    </w:p>
    <w:p>
      <w:r>
        <w:rPr>
          <w:b/>
        </w:rPr>
        <w:t>E. 5.2</w:t>
      </w:r>
    </w:p>
    <w:p>
      <w:r>
        <w:t>So sind für die Dauer des Führerausweisentzuges nach Art. 16 Abs. 3 SVG die Umstände des Einzelfalls zu berücksichtigen, namentlich die Gefährdung der Verkehrssicherheit, das Verschulden, der Leumund als Motorfahrzeugführer sowie die berufliche Notwendigkeit, ein Motor- fahrzeug zu führen. Die Mindestentzugsdauer darf jedoch nicht unterschritten werden. Nach einer mittelschweren Widerhandlung ist der Führerausweis gemäss Art. 16b Abs. 2 lit. a SVG für mindestens einen Monat zu entziehen.</w:t>
      </w:r>
    </w:p>
    <w:p>
      <w:r>
        <w:rPr>
          <w:b/>
        </w:rPr>
        <w:t>E. 5.3</w:t>
      </w:r>
    </w:p>
    <w:p>
      <w:r>
        <w:t>Die Vorinstanz hat dem Beschwerdeführer mit der angefochtenen Verfügung den Führeraus- weis nur für die gesetzlich vorgeschriebene Mindestdauer entzogen. Die verfügte Entzugsdauer von einem Monat ist damit nicht zu beanstanden und darf – obwohl der Beschwerdeführer beruf- lich auf den Führerausweis angewiesen ist – gemäss dem klaren Wortlaut des Gesetzes nicht unterschritten werden. Weiter besteht entgegen der Argumentation des Beschwerdeführers in seiner Beschwerde auch keine Möglichkeit, aufgrund der derzeitigen Krisensituation mit dem Coro- navirus auf den Entzug des Führerausweises zu verzichten; eine solche Ausnahme ist gesetzlich nicht vorgesehen. Der Beschwerdeführer wird jedoch darauf hingewiesen, dass die Vorinstanz aufgrund der derzeiti- gen Krisensituation bei Warnungsentzügen (und soweit die aufschiebende Wirkung nicht entzogen wurde) auf Gesuch hin die Frist zur Hinterlegung des Führerausweises in der Regel bis zum 1. Januar 2021 verlängert. Vorliegend wurde in der angefochtenen Verfügung festgelegt, dass der Führerausweis spätestens ab dem 23. Juli 2020 entzogen wird. Es steht dem Beschwerdeführer daher frei, bei der Vorinstanz eine Verlängerung dieser Frist zu beantragen.</w:t>
      </w:r>
    </w:p>
    <w:p>
      <w:r>
        <w:rPr>
          <w:b/>
        </w:rPr>
        <w:t>E. 6</w:t>
      </w:r>
    </w:p>
    <w:p>
      <w:r>
        <w:t>Im Ergebnis erweist sich damit der von der Vorinstanz verfügte Warnungsentzug des Führeraus- weises für die Dauer von einem Monat als gerechtfertigt. Die Beschwerde ist folglich abzuweisen und die Verfügung der Vorinstanz vom 23. Januar 2020 ist zu bestätigen.</w:t>
      </w:r>
    </w:p>
    <w:p>
      <w:r>
        <w:rPr>
          <w:b/>
        </w:rPr>
        <w:t>E. 7</w:t>
      </w:r>
    </w:p>
    <w:p>
      <w:r>
        <w:t>Die Verfahrenskosten, die auf CHF 600.-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(Dispositiv auf der nächsten Seite)</w:t>
      </w:r>
    </w:p>
    <w:p>
      <w:r>
        <w:t>Kantonsgericht KG Seite 6 von 6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6. April 2020/dgr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