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191 vom 25. März 2021</w:t>
      </w:r>
    </w:p>
    <w:p>
      <w:r>
        <w:t>FR Kantonsgericht, 2021-03-25, FR</w:t>
      </w:r>
    </w:p>
    <w:p>
      <w:r>
        <w:rPr>
          <w:b/>
        </w:rPr>
        <w:t xml:space="preserve">Quelle: </w:t>
      </w:r>
      <w:r>
        <w:t>https://mcp.opencaselaw.ch/entscheid/fr_gerichte_603_2020_191</w:t>
      </w:r>
    </w:p>
    <w:p>
      <w:r>
        <w:t>FR: FR_GERICHTE 603 2020 191 du 25 mars 2021</w:t>
      </w:r>
    </w:p>
    <w:p>
      <w:r>
        <w:t>IT: FR_GERICHTE 603 2020 191 del 25 marzo 2021</w:t>
      </w:r>
    </w:p>
    <w:p>
      <w:pPr>
        <w:pStyle w:val="Heading2"/>
      </w:pPr>
      <w:r>
        <w:t>Regeste</w:t>
      </w:r>
    </w:p>
    <w:p>
      <w:r>
        <w:t>Arrêt de la IIIe Cour administrative du Tribunal cantonal | Strassenverkehr und Transportwesen</w:t>
      </w:r>
    </w:p>
    <w:p>
      <w:pPr>
        <w:pStyle w:val="Heading2"/>
      </w:pPr>
      <w:r>
        <w:t>Erwägungen</w:t>
      </w:r>
    </w:p>
    <w:p>
      <w:r>
        <w:rPr>
          <w:b/>
        </w:rPr>
        <w:t>E. 27</w:t>
      </w:r>
    </w:p>
    <w:p>
      <w:r>
        <w:t>octobre 2020. Aucun autre échange d'écritures n'a eu lieu. Il sera fait état des arguments, développés par les parties à l'appui de leurs conclusions, dans les considérants de droit du présent arrêt, pour autant que cela soit utile à la solution du litige.</w:t>
      </w:r>
    </w:p>
    <w:p>
      <w:r>
        <w:t>Tribunal cantonal TC Page 4 de 10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Le recourant reproche à l’autorité intimée d’avoir considéré à tort qu’il était inapte à la conduite. Il réfute en particulier le diagnostic de crise d’épilepsie retenu suite à son malaise et soulève l’absence de récidive depuis cet événement. Il conteste en outre souffrir d’un problème d’alcool pouvant avoir une incidence sur son comportement routier. 2.1. 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Lorsqu'un permis de conduire a déjà été délivré, l'art. 16 al. 1 LCR – corollaire de l'art. 14 LCR – prescrit que ce permis sera notamment retiré lorsque l'autorité constate que les conditions légales de sa délivrance ne sont pas ou ne sont plus remplies; il pourra être retiré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2.2. Aux termes de l'art. 15d al. 1 LCR,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103 Ib 33; 105 Ib 387). L'art. 11b al. 1 OAC prévoit que l'autorité compétente examine si les conditions requises pour délivrer un permis d'élève</w:t>
      </w:r>
    </w:p>
    <w:p>
      <w:r>
        <w:t>Tribunal cantonal TC Page 5 de 10 conducteur, un permis de conduire ou une autorisation de transporter des personnes à titre professionnel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Il ressort de cette disposition légale et de la jurisprudence – rendue sous l'empire de l'ancien droit, mais dont s'est inspiré le législateur pour opérer les modifications du code de la route entrées en vigueur en 2005 – que c'est un institut ou un spécialiste en psychologie du trafic qui est en principe habilité à procéder à l'examen de l'aptitude à conduire du candidat ou du conducteur lorsque celle-ci suscite des doutes (cf. RDAF 1973 p. 339; Principes directeurs sur les mesures administratives en matière de circulation routière du 25 février 1993, no 2.4). L'examen psychotechnique, qui tend à déterminer l'aptitude fonctionnelle, caractérielle et psychique du conducteur, consiste en une série de tests relatifs au caractère et aux réactions de ce dernier face à diverses situations de la circulation routière (cf. arrêt TC FR 603 2020 174 du 13 janvier 2021 consid. 3.2). Si l'autorité administrative met en œuvre une expertise, elle est liée par l'avis de l'expert et ne peut s'en écarter que si elle a de sérieux motifs de le faire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(arrêt TC FR 603 2009 52 du 27 mars 2009; cf. ég. ATF 133 II 384 consid 4.2.3).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(arrêt TF 6B_698/2018 du 26 octobre 2018 consid. 1.1). 2.3.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arrêts TC FR 603 2020 174 du 13 janvier 2021 consid. 3.3; 603 2020 12 du 8 avril 2020 consid. 2.1). S'agissant plus particulièrement d'une expertise de la médecine du trafic, la jurisprudence a précisé les exigences que celle-ci devait respecter pour constituer une base de décision suffisante en</w:t>
      </w:r>
    </w:p>
    <w:p>
      <w:r>
        <w:t>Tribunal cantonal TC Page 6 de 10 matière de retrait de sécurité. La mise en évidence d'une consommation d'alcool nuisible pour la santé suppose d'abord une analyse de laboratoire où divers marqueurs sont mesurés (ATF 129 II 82 consid. 6.2.1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6.2.2; arrêts TF 1C_106/2016 du 9 juin 2016 consid. 3.1.3; 1C_173/2009 du 27 mai 2009 consid. 3.1 et les arrêts et références cités). 3. 3.1. En l’occurrence, rappelons que le recourant s'est vu déclarer inapte à la conduite parce que ses aptitudes physiques ne lui permettent pas ou plus de conduire avec sûreté un véhicule automobile au sens de l'art. 16d al. 1 let. a LCR et non pas pour une forme de dépendance, à l'alcool en particulier, selon l'art. 16d al. 1 let. b LCR. Le point de départ de la présente procédure réside dans la dénonciation que la neurologue du recourant a fait parvenir à l’OCN, invoquant le fait que celui-là avait souffert d’une crise d’épilepsie dont le risque de récidive s’opposait à la conduite d’un véhicule automobile. En outre, elle a allégué que la consommation à risque d’alcool, mêlée à un fléchissement exécutif chez son patient, justifiait un examen plus approfondi de son aptitude à la conduite. Par la suite, le médecin-conseil de la CMA a confirmé ces doutes en les qualifiant même d'importants. C'est dans ce contexte qu'il faut apprécier les conclusions de l'expertise contestée et les griefs du recourant. 3.2. Au niveau formel, l'autorité intimée a satisfait aux exigences de procédure en invitant le recourant à se prononcer sur les résultats de l'expertise. Dite expertise a de plus été réalisée par un médecin spécialiste en médecine légale et du trafic SSML, avec la collaboration d'une psychologue spécialiste en psychologie de la circulation FSP. L'expertise est circonstanciée dans sa présentation. Elle comprend le descriptif du mandat, à savoir déterminer si l’expertisé est apte à conduire les véhicules automobiles du 1er groupe, un rappel des faits, une expertise psychologique ainsi qu’une expertise médicale comprenant à chaque fois une anamnèse détaillée et le résultat de divers tests et examens, une enquête d’entourage et enfin des conclusions. Les experts se sont fondés sur le dossier transmis par la CMA, les observations cliniques lors de leurs entrevues respectives ainsi que sur les résultats de divers tests et examens. La psychologue s’est également basée sur les résultats du test du tableau des signaux routiers provenant de la batterie de tests SVN, de tests neuropsychcologiques papier-crayon, à savoir du TMT (Trail Making Test), de l’épreuve des Frises de Luria et de la figure complexe de Rey, du test de l’attention divisée provenant de la batterie de la TAP (Tests d’Evaluation de l’Attention, Zimmermann &amp; Fimm), de la batterie rapide d’efficience frontale Dubois et al., du test adaptatif tachistoscopique de conception de la circulation (ATAVT), du test de détermination (DT) ainsi que du test de réaction (RT) provenant de la batterie du Vienna Test System / Schuhfried.</w:t>
      </w:r>
    </w:p>
    <w:p>
      <w:r>
        <w:t>Tribunal cantonal TC Page 7 de 10 Le médecin s’est quant à lui fondé par ailleurs sur les résultats du score AUDIT (questionnaire d'évaluation de la consommation d'alcool), du test QBDA (questionnaire bref de la dépendance à l'alcool valable sur la dernière année), du questionnaire EVACAPA (Evaluation d'une Action auprès des Conducteurs Ayant un Problème d'Alcool), du test de marche rapide, du test d’équilibre "Get up and go" ainsi que du MoCA (Montreal Cognitive Assessment). Il a également pris en compte les résultats de l'examen capillaire du 5 août 2020 ainsi que le rapport de l’examen neuropsychologique de D.________ du 31 janvier 2020. Partant, force est de constater que les moyens d'investigation usuels et exigés en la matière ont été utilisés par des spécialistes compétents pour procéder aux évaluations requises et que le recourant a pu s'exprimer sur le rapport. Dans ces circonstances, la CMA pouvait, sans arbitraire, se fonder sur ce rapport pour juger de l'aptitude du recourant à la conduite. 3.3. Sur le fond, le rapport du 27 octobre 2020 conclut à l'inaptitude à la conduite de l'intéressé, ce qui a motivé la décision litigieuse du 12 novembre 2020 prononçant le retrait de sécurité du permis de conduire. Reprenant les conclusions des experts, la CMA l’a en effet jugé inapte à la conduite pour des motifs alcoologique et psychologique, en raison d'une consommation d’alcool chronique et excessive, à risque pour la santé et la conduite, ainsi que de particularités caractérielles se manifestant par une adaptation du cadre légal à ses exigences et une problématique de l’autorité. En revanche, l’incident neurologique, qui ne s'est produit qu'à une seule reprise en 2019, n'a pas été considéré par les experts comme un obstacle à la conduite. De même, la CMA n'a pas retenu ce motif pour retirer son permis au recourant, contrairement à ce qu'il semble penser. Cela étant, l'avis des experts peut être suivi. Au niveau de la consommation d’alcool du recourant, ceux-ci notent ce qui suit: "Une consommation d’alcool chronique et excessive reconnue spontanément par l’intéressé et confirmée par une analyse capillaire qui montre une concentration très élevée d'EtG [pour éthylglucuronide] dans un segment de 2,5 cm de cheveux prélevés le 23.07.2020 (&gt;100 pg/mg). [L'expertisé] reconnait présenter habituellement une consommation de quatre verres standard qu’il a pu augmenter depuis le retrait de son permis de conduire par le fait qu’il ne devait pas conduire. Il s’avère dans ce contexte nécessaire que l’intéressé montre sa capacité à interrompre toute consommation d’alcool avant une réadmission à la circulation routière. Vu les quantités consommées actuellement, l’arrêt de la consommation doit impérativement se faire sous contrôle médical (risque de sevrage)". A cet égard, il y a lieu de relever que, pour interpréter les concentrations d’EtG mesurées dans les cheveux, on se sert essentiellement de trois catégories: l‘abstinence, la consommation modérée (degrés de risque "faible" et "moyen" au sens de l‘OMS) et la consommation abusive (degré de risque "élevé" au sens de l‘OMS). Entre 7 pg/mg ≤ EtG &lt; 30 pg/mg d'éthylglucuronide détecté, la valeur parle en faveur d’une consommation d’alcool modérée. A compter de EtG ≥ 30 pg/mg d'éthylglucuronide détecté, la valeur parle en faveur d’une consommation d’alcool abusive (cf. Société suisse de médecine légale, groupe de travail sur les analyses de cheveux, Détermination de l'éthylglucoronide [EtG] dans les cheveux, version du 2 avril 2014, ch. 6.2, www.sgrm.ch/inhalte/Forensische-Chemie-und-Toxikologie/EtG_cheveux_2014.pdf, consulté le 19 mars 2021).</w:t>
      </w:r>
    </w:p>
    <w:p>
      <w:r>
        <w:t>Tribunal cantonal TC Page 8 de 10 Or, malgré les aveux du recourant qui concède consommer parfois plus de quatre verres par jour, l'analyse faite met en évidence une concentration trois fois plus importante que le seuil à compter duquel il y a consommation d'alcool abusive, établissant ainsi une consommation bien plus considérable encore que celle reconnue, laquelle pourrait éventuellement justifier, à elle seule, le prononcé d'une mesure de sécurité. On peut à tout le moins déduire des résultats du test capillaire, comme l'ont fait les experts et la CMA après eux, que la preuve d'une consommation excessive d'alcool a été rapportée (cf. ATF 140 II 334 consid. 3), avis partagé d'ailleurs par sa neurologue traitante. De plus, les experts ont observé, sur la base de deux entretiens, l'un avec le médecin et l'autre avec la psychologue qu'"on ne peut pas exclure une difficulté à séparer la consommation d’alcool de la conduite automobile. En outre, [l'expertisé] a minimisé sa consommation d’alcool lors de l’expertise psychologique et présente une consommation d’alcool chronique excessive. Notons également qu’il n’a pas de notions d’absorption et d’élimination de l’alcool par le corps (par exemple, estimant que 1g‰ d’alcool est éliminé en une heure) et qu’il ne mentionne pas de stratégies pour éviter la récidive à l’avenir, malgré l’insistance de l’expert". Ainsi, pour les spécialistes, "l’intéressé semble peu conscient des risques liés à la consommation d’alcool en ce qui concerne sa santé, d’autant plus en raison de ses antécédents somatiques (AVC; crise d’épilepsie focale), et présente une tendance à minimiser les risques encourus en cas de consommation d’alcool et conduite automobile. Enfin, il ne présente pas les garanties attendues afin d’éviter toute récidive à l’avenir, ce qui nécessite une intervention et un accompagnement afin qu’il prenne conscience des risques pour sa santé et de l’influence de l’alcool sur la conduite automobile". En effet, alors même qu'il a été interdit de conduite en mars 2020 de manière préventive à cause notamment de sa consommation d'alcool, le recourant a choisi d'augmenter encore cette dernière depuis lors, sous prétexte qu'il ne pouvait plus conduire, alors qu'un abus d'alcool peut manifestement nuire à sa santé, à cause de ses antécédents. Sur la base de ce qui précède, la CMA pouvait ainsi manifestement retenir que l'intéressé présente une consommation d'alcool excessive à risque pour la conduite et sa santé. De surcroît, au niveau du comportement du recourant, les experts ont constaté les éléments suivants: "[L’expertisé] ne reconnait pas la responsabilité des diverses interpellations reprochées depuis 2005, ne se souvenant pas de la première interpellation, estimant qu’il reproduirait le même comportement s’il fallait dégivrer son véhicule avant de se déplacer ("Je ferais la même chose; si je dois partir en urgence pour arriver à l’heure, je ferais pareil; je sais comment nettoyer et comment conduire"), estimant que d’autres l’ont poussé à la faute ("Un sauvage qui me poussait au cul à peine un mètre de distance et je n’avais que 5km à faire") et attribuant sa conduite en état d’ébriété à un contrôle injustifié ("J’étais dans mon garage"; "Je n’avais que 500m à faire"). L’intéressé manifeste également des particularités de caractère en terme de jugement critique limité, ne réfutant notamment pas présenter un sentiment de maîtriser, quelles que soient les circonstances (conduite automobile; évaluation ou diagnostic médical/neurologique; adaptation ou refus de la médication conseillée/prescrite), et adaptant le cadre légal à ses propres critères. Par ailleurs, [il] ne reconnait pas sa dangerosité au moment des faits, dont il attribue les causes à des facteurs externes.</w:t>
      </w:r>
    </w:p>
    <w:p>
      <w:r>
        <w:t>Tribunal cantonal TC Page 9 de 10 (…) Dès lors, [l'expertisé] ne présente pas une prise de recul suffisante des risques de ses agissements et remet peu en question son comportement". Dans son recours également, l'intéressé indique qu'il entend continuer à boire sans excès comme il l'a toujours fait. Non seulement, il peine à admettre avoir un problème de consommation d'alcool, nonobstant les résultats du test capillaire, mais encore il pense pouvoir la contrôler sans autre. Sur la base de ce qui précède, il existe dès lors un risque que l'intéressé ne soit pas en mesure de contrôler ses habitudes par sa propre volonté, prétendant maîtriser tant sa consommation que les situations qui se présentent à lui, quelles qu'elles soient, sans recul ni prise de conscience, ne serait- ce que de l'importance de sa consommation; par ailleurs, il est en outre établi que le recourant consomme de l'alcool de manière très excessive (100 pg/mg EtG) et susceptible de diminuer sa capacité à conduire. . 3.4. Au vu des éléments ainsi mis en évidence de manière circonstanciée par les spécialistes, la CMA pouvait manifestement considérer que les habitudes de consommation d'alcool du recourant, en lien avec les traits de sa personnalité relevés dans l'expertise, ne lui permettent ainsi pas de conduire avec sûreté un véhicule automobile. Partant, le retrait de son permis de conduire pour une durée indéterminée se justifie. 4. En outre, la décision attaquée a fixé toute une série de conditions auxquelles la restitution du permis de conduire de l'intéressé est subordonnée. Il sied d'emblée de constater que la CMA a suivi les recommandations préconisées par les experts, lesquels ont posé les conditions usuelles lors d'une consommation d'alcool à risque avec incidence sur la conduite (abstinence totale, examens capillaires, suivi alcoologique, nouvelle expertise médico-psychologique attestant de l'aptitude à la conduite, etc.). S'agissant en particulier de l'exigence de la production d'un rapport mentionnant les diagnostics neurologiques actualisés, les traitements appliqués ainsi que l’évolution des différentes problématiques, la CMA a simplement, à juste titre, voulu prendre les précautions minimales afin de s'assurer que l’incident neurologique n'a véritablement été qu'un épisode isolé sans conséquence sur la conduite d'un véhicule automobile, comme l'ont d'ailleurs aussi expressément recommandé les experts. Il n'est en revanche pas question de l'astreindre à suivre un quelconque traitement spécifique du point de vue neurologique pour lui permettre de récupérer son permis de conduire, contrairement à ce qu'il semble croire. 5. Pour l'ensemble des motifs qui précèdent, force est d'admettre qu'en écartant le recourant de la conduite et en soumettant sa future réadmission à toute une série de conditions, la décision de la CMA est conforme aux principes de la légalité et de la proportionnalité et ne concrétise aucun abus ou excès de son pouvoir d'appréciation. Elle doit dès lors être confirmée et le recours rejeté.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w:t>
      </w:r>
    </w:p>
    <w:p>
      <w:r>
        <w:t>Tribunal cantonal TC Page 10 de 10 la Cour arrête : I. Le recours est rejeté. II. Les frais de procédure, par CHF 600.-, sont mis à la charge du recourant. Ils sont compensés par l'avance de frais qu'il a versée. III. Notification. Le présent arrêt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25 mars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