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180 vom 22. Februar 2021</w:t>
      </w:r>
    </w:p>
    <w:p>
      <w:r>
        <w:t>FR Kantonsgericht, 2021-02-22, FR</w:t>
      </w:r>
    </w:p>
    <w:p>
      <w:r>
        <w:rPr>
          <w:b/>
        </w:rPr>
        <w:t xml:space="preserve">Quelle: </w:t>
      </w:r>
      <w:r>
        <w:t>https://mcp.opencaselaw.ch/entscheid/fr_gerichte_603_2020_180</w:t>
      </w:r>
    </w:p>
    <w:p>
      <w:r>
        <w:t>FR: FR_GERICHTE 603 2020 180 du 22 février 2021</w:t>
      </w:r>
    </w:p>
    <w:p>
      <w:r>
        <w:t>IT: FR_GERICHTE 603 2020 180 del 22 febbraio 2021</w:t>
      </w:r>
    </w:p>
    <w:p>
      <w:pPr>
        <w:pStyle w:val="Heading2"/>
      </w:pPr>
      <w:r>
        <w:t>Regeste</w:t>
      </w:r>
    </w:p>
    <w:p>
      <w:r>
        <w:t>Arrêt de la IIIe Cour administrative du Tribunal cantonal | Strassenverkehr und Transportwesen</w:t>
      </w:r>
    </w:p>
    <w:p>
      <w:pPr>
        <w:pStyle w:val="Heading2"/>
      </w:pPr>
      <w:r>
        <w:t>Erwägungen</w:t>
      </w:r>
    </w:p>
    <w:p>
      <w:r>
        <w:rPr>
          <w:b/>
        </w:rPr>
        <w:t>E. 36</w:t>
      </w:r>
    </w:p>
    <w:p>
      <w:r>
        <w:t>km/h sur l'autoroute, le 11 juin 2020; qu'il convient toutefois de spécifier que la catégorie de son permis de conduire n’est pas litigieuse; que, d'après l'art. 27 al. 1 LCR, chacun se conformera aux signaux et aux marques ainsi qu'aux ordres de police; que l'art. 4a al. 1 let. d de l'ordonnance du 13 novembre 1962 sur les règles de la circulation routière (OCR; RS 741.11) prévoit que la vitesse maximale générale des véhicules peut atteindre, lorsque les conditions de la route, de la circulation et de visibilité sont favorables, 120 km/h sur les autoroutes; que, selon l’al. 5 de cette disposition, lorsque des signaux indiquent d’autres vitesses maximales, celles-ci sont applicables en lieu et place des limitations générales de vitesse (al. 1); il en va de</w:t>
      </w:r>
    </w:p>
    <w:p>
      <w:r>
        <w:t>Tribunal cantonal TC Page 4 de 5 même des vitesses inférieures imposées à certains genres de véhicules par l’art. 5 OCR ou à certains véhicules par décision de l’autorité compétente; qu'en l'espèce, au vu des faits établis, il faut constater que le recourant a violé les dispositions légales précitées. Partant, la CMA se devait de prononcer une mesure administrative à son égard; que, selon l’art. 16c al. 1 let. a LCR, commet une infraction grave la personne qui, en violant gravement les règles de la circulation, met sérieusement en danger la sécurité d’autrui ou en prend le risque; 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que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arrêts TC FR 603 2019 146 du 2 juin 2020; 603 2019 57 du 12 juillet 2019; 603 2015 58 du 8 juin 2015 consid. 4a); qu’en l’espèce, le recourant a dépassé de 36 km/h la vitesse autorisée de 80 km/h sur l’autoroute, ce qui constitue en soi une faute grave (art. 16c LCR); qu'il ne se prévaut d'aucune circonstance permettant de se distancier de la faute grave et que le dossier n'en révèle pas non plus; que, d'après le prescrit de l'art. 16c al. 2 LCR, après une telle infraction, le permis d’élève conducteur ou le permis de conduire est retiré pour trois mois au minimum (let. a) mais pour six mois au minimum si, au cours des cinq années précédentes, le permis a été retiré une fois en raison d’une infraction moyennement grave (let. b); que l'art. 16 al. 3 LCR prévoit encore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qu’en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t>Tribunal cantonal TC Page 5 de 5 qu'en l'occurrence, force est de constater que le recourant a commis une infraction moyennement grave, le 29 mars 2018, suivie d’une infraction légère, le 16 septembre 2019; que le recourant ayant déjà fait l'objet d'une mesure en raison d'une infraction moyennement grave au cours des cinq dernières années, l'excès de vitesse qu'il a commis en juin 2020 devait nécessairement entraîner le retrait du permis pour la durée de six mois, en application de l'art. 16c al. 2 let. b LCR précité; que la CMA s'en est tenue à la durée minimale de retrait et que, dans ces conditions, le besoin professionnel dont se prévaut le recourant pour disposer de son permis de conduire ne permet pas une réduction de la durée (minimale) du retrait; que, sur le vu de ce qui précède, le recours, mal fondé, doit être rejeté et la décision querellée confirmée; que, conformément à l'art. 131 CPJA, les frais de justice, par CHF 600.-, sont mis à la charge du recourant qui succombe, et compensés avec l'avance de frais; la Cour arrête : I. Le recours est rejeté, dans la mesure de sa recevabilité. II. Les frais de justice, fixés à CHF 600.-, sont mis à la charge du recourant et compensés avec l'avance de frais.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février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