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154 vom 10. Februar 2021</w:t>
      </w:r>
    </w:p>
    <w:p>
      <w:r>
        <w:t>FR Kantonsgericht, 2021-02-10, DE</w:t>
      </w:r>
    </w:p>
    <w:p>
      <w:r>
        <w:rPr>
          <w:b/>
        </w:rPr>
        <w:t xml:space="preserve">Quelle: </w:t>
      </w:r>
      <w:r>
        <w:t>https://mcp.opencaselaw.ch/entscheid/fr_gerichte_603_2020_154</w:t>
      </w:r>
    </w:p>
    <w:p>
      <w:r>
        <w:t>FR: FR_GERICHTE 603 2020 154 du 10 février 2021</w:t>
      </w:r>
    </w:p>
    <w:p>
      <w:r>
        <w:t>IT: FR_GERICHTE 603 2020 154 del 10 febbraio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Tribunal cantonal TC Page 4 de 8 interprétation différente. Ainsi, les conditions objectives du retrait de permis et la sanction pénale ne se superposent pas: les art. 16 ss LCR s'appuient sur la mise en danger objective de la circulation. La sanction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w:t>
      </w:r>
    </w:p>
    <w:p>
      <w:r>
        <w:rPr>
          <w:b/>
        </w:rPr>
        <w:t>E. 2.2</w:t>
      </w:r>
    </w:p>
    <w:p>
      <w:r>
        <w:t>Le Préfet du district de la Glâne a retenu que le recourant avait entrepris le dépassement de deux véhicules à la fois, malgré une visibilité fortement restreinte, et qu’il avait franchi une ligne de sécurité et circulé sur une surface interdite à la circulation pour se rabattre. Non contestée, l’ordonnance pénale est entrée en force. Rien ne justifie de se distancier des faits retenus sur le plan pénal. Ceux-ci doivent dès lors être tenus pour établis. En particulier, s'il entendait faire valoir sa propre version des faits, l'intéressé devait se défendre au niveau pénal, ce à quoi il a renoncé, alors même qu'il en a été informé par le biais de l'avis d'ouverture de procédure. En outre, quoi qu'il en pense, sa version s'oppose à celle figurant dans le rapport de police et retenue par le Préfet mais rien n'autorise à penser qu'elle devrait avoir la préséance sur cette dernière. Le schéma qu'il a produit à l'appui de son recours n'y change rien.</w:t>
      </w:r>
    </w:p>
    <w:p>
      <w:r>
        <w:rPr>
          <w:b/>
        </w:rPr>
        <w:t>E. 3.1</w:t>
      </w:r>
    </w:p>
    <w:p>
      <w:r>
        <w:t>Il sied de garder à l’esprit que chacun doit se comporter, dans la circulation, de manière à ne pas gêner ni mettre en danger ceux qui utilisent la route conformément aux règles établies (art. 26 al. 1 LCR). En vertu de l'art. 34 al. 2 et 3 LCR, les véhicules circuleront toujours à droite des lignes de sécurité tracées sur la chaussée. Le conducteur qui veut modifier sa direction de marche, par exemple pour obliquer, dépasser, se mettre en ordre de présélection ou passer d’une voie à l’autre, est tenu d’avoir égard aux usagers de la route qui viennent en sens inverse ainsi qu’aux véhicules qui le suivent. Selon l’art. 35 al. 2 LCR, il n’est permis d’exécuter un dépassement ou de contourner un obstacle que si l’espace nécessaire est libre et bien visible et que si les usagers de la route venant en sens Tribunal cantonal TC Page 5 de 8 inverse ne sont pas gênés par la manœuvre. Dans la circulation à la file, seul peut effectuer un dépassement celui qui a la certitude de pouvoir reprendre place assez tôt dans la file des véhicules sans entraver leur circulation. Aux termes de l'art. 35 al. 3 LCR, celui qui dépasse doit avoir particulièrement égard aux autres usagers de la route, notamment à ceux qu’il veut dépasser. Conformément à l’art. 10 de l'ordonnance du 13 novembre 1962 sur les règles de la circulation routière (OCR; RS 741.11), le conducteur qui veut dépasser, se déplacera prudemment sur la gauche sans gêner les véhicules qui suivent. Il ne dépassera pas lorsque, devant le véhicule qui précède, se trouve un obstacle tel qu’un chantier, un véhicule en ordre de présélection ou des piétons traversant la chaussée (al. 1). Après le dépassement, le conducteur reviendra sur sa droite dès qu’il peut le faire sans danger pour celui qu’il vient de dépasser (al. 2).</w:t>
      </w:r>
    </w:p>
    <w:p>
      <w:r>
        <w:rPr>
          <w:b/>
        </w:rPr>
        <w:t>E. 3.2</w:t>
      </w:r>
    </w:p>
    <w:p>
      <w:r>
        <w:t>En l’espèce, le recourant a entrepris de dépasser deux véhicules qui roulaient normalement devant lui, quand bien même, à ses dires, leur vitesse se situait en dessous de la limite autorisée de 80 km/h. Toutefois, d'après les faits retenus par le juge pénal qui lient la Cour de céans, il a effectué cette manœuvre à un endroit avec une visibilité fortement restreinte et a franchi une ligne de sécurité et une zone interdite à la circulation. Dès lors que le recourant a circulé sur des lignes ou zone qu'il ne devait pas franchir lorsqu'il s'est rabattu, force est d'admettre que la distance à disposition était à l'évidence trop restreinte pour le dépassement non pas d'un seul mais de deux véhicules, sans parler du fait que le juge pénal a retenu que la visibilité était fortement restreinte à cet endroit en raison d'un virage succédant à une butte. De plus, le fait que les voitures qui le précédaient roulaient cas échéant en dessous de la vitesse maximale ne l'autorisait à l'évidence pas à procéder à un dépassement impliquant d'excéder celle-ci, à franchir une ligne de sécurité ainsi qu'à conduire sur une surface interdite à la circulation. Ce faisant, le recourant n'a ainsi pas respecté les prescriptions, notamment des art. 34 al. 2 et 3 et 35 al. 2 LCR. Partant, c’est à juste titre que l’autorité intimée a retenu que ce comportement devait entraîner le prononcé d’une mesure administrative.</w:t>
      </w:r>
    </w:p>
    <w:p>
      <w:r>
        <w:rPr>
          <w:b/>
        </w:rPr>
        <w:t>E. 4.1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Tribunal cantonal TC Page 6 de 8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L'infraction sanctionnée par l'art. 16c al. 1 let. a LCR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4.2</w:t>
      </w:r>
    </w:p>
    <w:p>
      <w:r>
        <w:t>Dans le cas d'espèce, la CMA a qualifié de grave l'infraction commise par le recourant. Son appréciation échappe à toute critique. Les règles concernant les dépassements ont pour but de minimiser les risques qui leur sont liés. Elles sont donc des dispositions importantes pour assurer la sécurité routière (cf. arrêt TF 6S.128/2004 du 15 juin 2004 consid. 2; ATF 129 IV 155 consid. 3.2.1; 121 IV 235 consid. 1b-1c). De plus, il y a lieu de souligner que la manœuvre consistant à franchir une ligne de sécurité représente, du point de vue objectif, une violation grave des règles de la circulation routière en raison du danger notoirement important qu’elle comporte pour la sécurité du trafic et, en particulier, des usagers de la route circulant en sens inverse (cf. ATF 136 II 447 consid. 3.3). En l’occurrence, la manœuvre de dépassement doit être qualifiée de téméraire. En effet, elle a été effectuée délibérément dans une situation où le recourant ne pouvait pas avoir la certitude qu’il disposerait de l'espace nécessaire pour dépasser non pas un seul mais deux véhicules et se rabattre avant la fin du tronçon sur lequel portait la visibilité. Il a d'ailleurs dû franchir la ligne de sécurité pour reprendre sa place sur la voie de droite. Tribunal cantonal TC Page 7 de 8 Dans ces circonstances, c’est en vain que le recourant tente de se disculper en invoquant que les véhicules devant lui roulaient à une vitesse nettement inférieure à celle autorisée, que la visibilité était excellente et qu’il n’a effectué aucune manœuvre dangereuse. Le recourant a agi en pleine connaissance de la situation et il a sciemment enfreint des règles fondamentales de la circulation routière. Aussi, comme telle, la faute commise constitue bel et bien une faute grave. De plus, elle a à tout le moins entraîné une mise en danger abstraite accrue, s'agissant d'un dépassement à un endroit où la visibilité était fortement restreinte à l'approche d'un virage, notamment pour les véhicules circulant en sens inverse, créant ainsi un danger sérieux avec un risque d'accident important. Peu importe qu'en l'occurrence cette mise en danger ne se soit fort heureusement pas concrétisée, une mise en danger abstraite accrue étant suffisante. Dans les circonstances de l'espèce, force est dès lors d'admettre que tant la faute commise que la mise en danger abstraite accrue qui en est résultée sont graves. Ainsi, en qualifiant de grave la faute commise par le recourant, la CMA n'a manifestement pas violé la loi, ni commis un quelconque excès ou abus de son pouvoir d'appréciation. Rappelons à cet égard que, pour les questions de droit, dont fait partie l'appréciation de la gravité de la faute et de la mise en danger, les autorités administratives ne sont pas liées par la qualification du juge pénal (cf. ATF 120 Ib 312 consid. 4b). En l'espèce, bien que le Préfet ait condamné le recourant à une amende et retenu, partant, la seule violation légère des règles sur la circulation routière, qui correspond, en droit administratif à la faute tant légère que moyennement grave, il n'en demeure pas moins que l'autorité intimée était en droit de s'en départir, comme elle l'a fait, sur la base de sa propre appréciation de la situation.</w:t>
      </w:r>
    </w:p>
    <w:p>
      <w:r>
        <w:rPr>
          <w:b/>
        </w:rPr>
        <w:t>E. 5.1</w:t>
      </w:r>
    </w:p>
    <w:p>
      <w:r>
        <w:t>Selon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w:t>
      </w:r>
    </w:p>
    <w:p>
      <w:r>
        <w:rPr>
          <w:b/>
        </w:rPr>
        <w:t>E. 5.2</w:t>
      </w:r>
    </w:p>
    <w:p>
      <w:r>
        <w:t>En l’espèce, le recourant a fait l’objet d’un avertissement le 4 décembre 2017 pour une faute légère, et d’un retrait de permis pour la durée d’un mois, par décision du 17 mai 2018, en raison d’une faute légère. Il a exécuté cette mesure jusqu’au 15 juillet 2018. En fixant à trois mois la durée du retrait, l'autorité intimée s'en est ainsi tenue à la durée minimale prévue par l'art. 16c al. 2 let. a LCR, de sorte qu’une réduction de celle-ci ne saurait entrer en ligne de compte, pour quelque motif que ce soit. Cette durée prend en compte la nécessité professionnelle du recourant de conduire un véhicule automobile. Tribunal cantonal TC Page 8 de 8 Certes, la Cour est bien consciente des inconvénients que l'intéressé aura à subir en raison du retrait de son permis de conduire. Cela étant, en effectuant un dépassement qu’il faut qualifier de téméraire, il a pris le risque non seulement de mettre sa propre sécurité et celles des autres usagers de la voie publique en danger, mais également de se voir retirer son permis de conduire. Il ne peut dès lors s'en prendre qu'à lui-même s’il doit maintenant en subir les conséquences.</w:t>
      </w:r>
    </w:p>
    <w:p>
      <w:r>
        <w:rPr>
          <w:b/>
        </w:rPr>
        <w:t>E. 6</w:t>
      </w:r>
    </w:p>
    <w:p>
      <w:r>
        <w:t>Sur le vu de ce qui précède, le recours, mal fondé, doit être rejeté et la décision attaquée confirmée. Les frais de procédure sont mis à la charge du recourant qui succombe (cf. art. 131 CPJA). la Cour arrête : I. Le recours est rejeté. II. Les frais de procédure, par CHF 600.-,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 lamation auprès de l'autorité qui a statué, lorsque seule cette partie de la décision est contestée (art. 148 CPJA). Fribourg, le 10 février 2021 ape/det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