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14 vom 21. April 2020</w:t>
      </w:r>
    </w:p>
    <w:p>
      <w:r>
        <w:t>FR Kantonsgericht, 2020-04-21, DE</w:t>
      </w:r>
    </w:p>
    <w:p>
      <w:r>
        <w:rPr>
          <w:b/>
        </w:rPr>
        <w:t xml:space="preserve">Quelle: </w:t>
      </w:r>
      <w:r>
        <w:t>https://mcp.opencaselaw.ch/entscheid/fr_gerichte_603_2020_14</w:t>
      </w:r>
    </w:p>
    <w:p>
      <w:r>
        <w:t>FR: FR_GERICHTE 603 2020 14 du 21 avril 2020</w:t>
      </w:r>
    </w:p>
    <w:p>
      <w:r>
        <w:t>IT: FR_GERICHTE 603 2020 14 del 21 aprile 2020</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 zes vom 12. November 1981 zur Ausführung der Bundesgesetzgebung über den Strassenverkehr [AGSVG; SGF 781.1] in Verbindung mit Art. 114 Abs. 1 lit. a des kantonalen Gesetzes vom 23. Mai 1991 über die Verwaltungsrechtspflege [VRG; SGF 150.1]). Der Beschwerdeführer ist zur Ergreifung des Rechtsmittels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vorliegend ausgeschlossen (Art. 77 und Art. 78 VRG).</w:t>
      </w:r>
    </w:p>
    <w:p>
      <w:r>
        <w:rPr>
          <w:b/>
        </w:rPr>
        <w:t>E. 3.1</w:t>
      </w:r>
    </w:p>
    <w:p>
      <w:r>
        <w:t>Nach der Rechtsprechung darf die Verwaltungsbehörde von den tatsächlichen Feststel- 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 klärt hat (vgl. BGE 137 I 363 / Pra 2012 46 323 E. 2.3.2).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 sem Fall hat die Verwaltungsbehörde nötigenfalls selbstständige Beweiserhebungen durchzufüh- ren (BGE 136 II 447 / Pra 2011 34 234 E. 3.1). Hängt die rechtliche Würdigung sehr stark von der Würdigung von Tatsachen ab, die der Strafrichter besser kennt als die Verwaltungsbehörde – was etwa dann der Fall ist, wenn er den Beschuldigten persönlich einvernommen hat – so ist die Ver- waltungsbehörde auch hinsichtlich der Rechtsanwendung an die rechtliche Qualifikation des Sachverhalts durch das Strafurteil gebunden. Ansonsten bleibt die Verwaltungsbehörde bei der rechtlichen Beurteilung des Falls frei (Urteil BGer 1C_452/2011 vom 21. August 2012 E. 2.2 mit Verweis auf BGE 124 II 103 E. 1c/aa und 1c/bb; BGE 139 II 95 / Pra 2013 83 652 E. 3.2). Entspre- chend dem Grundsatz von Treu und Glauben muss der Betroffene allfällige Verteidigungsrechte und Beweisanträge im Strafverfahren vorbringen und dort ggf. alle Rechtsmittel ausschöpfen (Ur- teil BGer 1C_476/2014 vom 29. Mai 2015 E. 2.3).</w:t>
      </w:r>
    </w:p>
    <w:p>
      <w:r>
        <w:rPr>
          <w:b/>
        </w:rPr>
        <w:t>E. 3.2</w:t>
      </w:r>
    </w:p>
    <w:p>
      <w:r>
        <w:t>Zu Recht hat sich die Vorinstanz folglich auf den im Strafbefehl vom 29. November 2019 der Staatsanwaltschaft Bern-Mittelland etablierten Sachverhalt abgestützt: Vorliegend sind keine klaren Anhaltspunkte ersichtlich, welche für die Unrichtigkeit der Tatsachenfeststellung im Straf- befehl sprechen. Solche werden vom Beschwerdeführer auch gar nicht behauptet. Im Übrigen hat der Beschwerdeführer auf weitere Rechtsmittel im Strafverfahren verzichtet. Die Voraussetzungen für ein Abweichen von den im Strafurteil festgestellten Tatsachen sind damit nicht gegeben, wes- halb vorliegend auf den etablierten Sachverhalt abgestellt werden kann.</w:t>
      </w:r>
    </w:p>
    <w:p>
      <w:r>
        <w:t>Kantonsgericht KG Seite 4 von 6</w:t>
      </w:r>
    </w:p>
    <w:p>
      <w:r>
        <w:rPr>
          <w:b/>
        </w:rPr>
        <w:t>E. 4.1</w:t>
      </w:r>
    </w:p>
    <w:p>
      <w:r>
        <w:t>Der Beschwerdeführer macht im Wesentlichen geltend, dass Art. 16a SVG in Verbindung mit Art. 16b SVG missachtet worden sei, indem die Vorinstanz die Widerhandlung gegen die Ver- kehrsregeln nicht als leicht (im Sinne von Art. 16a SVG), sondern als mittelschwer (im Sinne von Art. 16b SVG) qualifiziert hat.</w:t>
      </w:r>
    </w:p>
    <w:p>
      <w:r>
        <w:rPr>
          <w:b/>
        </w:rPr>
        <w:t>E. 4.2</w:t>
      </w:r>
    </w:p>
    <w:p>
      <w:r>
        <w:t>In rechtlicher Hinsicht bzw. betreffend die begangene Widerhandlung hat die Staatsanwalt- schaft in seinem Strafbefehl zu Recht dargelegt, dass der Beschwerdeführer mit seinem Verhalten namentlich gegen Art. 27 Abs. 1 SVG verstossen hat. Nach dieser Bestimmung Signale und Mar- kierungen sowie die Weisungen der Polizei sind zu befolgen (Art. 27 Abs. 1 1. Satz SVG). Nach Art. 16 Abs. 2 SVG wird bei Widerhandlungen gegen Strassenverkehrsvorschriften, bei de- nen das Verfahren nach dem Ordnungsbussengesetz vom 24. Juni 1970 (OBG; SR 741.03) aus- geschlossen ist, der Führerausweis entzogen oder eine Verwarnung ausgesprochen. Bei den be- schriebenen vom Beschwerdeführer begangenen Widerhandlungen kommt ein Verfahren nach dem OBG aufgrund von Art. 2 lit. a OBG und Art. 3 Abs. 1 OBG in Verbindung (e contrario) mit der Ordnungsbussenverordnung vom 4. März 1996 (OBV; SR 741.031) nicht in Frage.</w:t>
      </w:r>
    </w:p>
    <w:p>
      <w:r>
        <w:rPr>
          <w:b/>
        </w:rPr>
        <w:t>E. 4.3</w:t>
      </w:r>
    </w:p>
    <w:p>
      <w:r>
        <w:t>Das Gesetz unterscheidet zwischen leichten (Art. 16a SVG), mittelschweren (Art. 16b SVG) und schweren Widerhandlungen (Art. 16c SVG). Laut Art. 16a Abs. 1 lit. a SVG begeht eine leichte Widerhandlung, wer durch Verletzung von Ver- kehrsregeln eine geringe Gefahr für die Sicherheit anderer hervorruft, sofern ihn dabei nur ein leichtes Verschulden trifft. Nach der Rechtsprechung müssen eine geringe Gefahr und ein leichtes Verschulden kumulativ gegeben sein (BGE 135 II 138). Eine mittelschwere Widerhandlung begeht, wer durch Verletzung von Verkehrsregeln eine Gefahr für die Sicherheit anderer hervorruft oder in Kauf nimmt (Art. 16b Abs. 1 lit. a SVG). Sie stellt einen Auffangtatbestand dar. Sie liegt vor, wenn nicht alle privilegierenden Elemente einer leichten und nicht alle qualifizierenden Elemente einer schweren Widerhandlung gegeben sind. Ist die Gefährdung gering, aber das Verschulden hoch, oder umgekehrt die Gefährdung hoch und das Verschulden gering, liegt eine mittelschwere Wider- handlung vor (Urteil BGer 1C_746/2013 vom 12. Dezember 2013 E. 2.3). Ist die Verletzung von Verkehrsregeln grob und wird dadurch eine ernstliche Gefahr für die Sicherheit anderer hervorge- rufen oder in Kauf genommen, ist die Widerhandlung schwer (Art. 16c Abs. 1 lit. a SVG). Eine ernstliche Gefahr für die Sicherheit anderer ist nicht erst bei einer konkreten, sondern bereits bei einer erhöhten abstrakten Gefährdung zu bejahen. Ob eine solche vorliegt, hängt von den jeweili- gen Verhältnissen des Einzelfalls ab (BGE 135 II 138 E. 2.2.2 f.; 131 IV 133 E. 3.2).</w:t>
      </w:r>
    </w:p>
    <w:p>
      <w:r>
        <w:rPr>
          <w:b/>
        </w:rPr>
        <w:t>E. 4.4</w:t>
      </w:r>
    </w:p>
    <w:p>
      <w:r>
        <w:t>Im vorliegenden Fall hat die Vorinstanz beschlossen, dass eine mittelschwere Widerhand- lung vorliege, und hat darauf basierend dem Beschwerdeführer den Führerausweis für die Dauer von einem Monat entzogen. Hiergegen trägt der Beschwerdeführer im Wesentlichen vor, dass sein Verhalten lediglich als leichte Widerhandlung zu qualifizieren sei: Er verfüge über einen einwand- freien Leumund. Auch sei von einem leichten Verschulden auszugehen, da er äusserst langsam und damit vorsichtig fuhr. Weiter habe er nur eine geringe Gefahr für die Sicherheit anderer her- vorgerufen, da der Unfall sich auf einer Kreuzung mit Nebenstrassen ereignete und auf Neben- strassen grundsätzlich nur mit geringen Geschwindigkeiten gefahren werde.</w:t>
      </w:r>
    </w:p>
    <w:p>
      <w:r>
        <w:rPr>
          <w:b/>
        </w:rPr>
        <w:t>E. 4.5</w:t>
      </w:r>
    </w:p>
    <w:p>
      <w:r>
        <w:t>Wie nachfolgend aufgezeigt wird, kann dieser Argumentation des Beschwerdeführers vorlie- gend nicht gefolgt werden.</w:t>
      </w:r>
    </w:p>
    <w:p>
      <w:r>
        <w:t>Kantonsgericht KG Seite 5 von 6 Durch das Nichtgewähren des Vortritts hat der Beschwerdeführer die übrigen Verkehrsteilnehmer erheblich gefährdet. Gemäss Unfallaufnahmeprotokoll war der Geschädigte mit relativ hoher Ge- schwindigkeit (ca. 58 km/h) unterwegs. Die konkrete und erhebliche Gefahr hat sich denn auch in einem Verkehrsunfall mit nicht geringem Sachschaden unmittelbar realisiert. Zwar kam es glücklicherweise zu keinen ernstlicheren Unfallfolgen mit Personenschaden; dies schliesst jedoch eine massgebliche abstrakte Gefahr für andere Verkehrsteilnehmer, insbesondere Motorrad- oder Fahrradfahrer, nicht aus. Aufgrund der erhöhten abstrakten Gefährdung der übri- gen Verkehrsteilnehmer kann die fragliche Widerhandlung auf keinen Fall als leicht qualifiziert werden; vielmehr ist auf eine mittelschwere Widerhandlung im Sinne von Art. 16b Abs. 1 lit. a SVG zu schliessen (vgl. u. a. Urteile BGer 1C_202/2018 vom 18. September 2018; 1C_361/2014 vom 26. Januar 2015). Dem steht auch nicht entgegen, dass die Staatsanwaltschaft das fragliche Ereignis als einfache Verkehrsverletzung qualifiziert hat: So umfasst doch die einfache Verkehrsregelverletzung nach Art. 90 Abs. 1 SVG administrativrechtlich sowohl die leichte als auch die mittelschwere Wider- handlung nach Art. 16a und Art. 16b SVG. Das straf- und das administrativrechtliche Sanktionen- system sind insofern nicht deckungsgleich (siehe Urteil BGer 1C_259/2011 vom 27. September 2011 E. 3.4; BGE 135 II 138 E. 2.4). Der implizite Einwand des Beschwerdeführers, wonach eine Verurteilung wegen Art. 90 Abs. 1 SVG lediglich die Annahme einer leichten Widerhandlung ge- mäss Art. 16a SVG indiziere, stösst damit ins Leere. Ob in casu tatsächlich nur ein leichtes Verschulden vorliegt, braucht – aufgrund der oben darge- legten hervorgerufenen hohen Gefährdung – nicht weiter geprüft zu werden (vgl. Urteil KG FR 603 2014 79 vom 31. März 2016 E. 4e; vgl. supra E. 4.2.).</w:t>
      </w:r>
    </w:p>
    <w:p>
      <w:r>
        <w:rPr>
          <w:b/>
        </w:rPr>
        <w:t>E. 4.6</w:t>
      </w:r>
    </w:p>
    <w:p>
      <w:r>
        <w:t>Die Vorinstanz ist damit zu Recht von einer mittelschweren Widerhandlung im Sinne von Art. 16b Abs. 1 lit. a SVG ausgegangen. Dem Antrag des Beschwerdeführers, wonach statt des Entzugs des Führerausweises eine Verwarnung auszusprechen sei, kann mithin nicht gefolgt wer- den, da dies von Gesetzes wegen nur bei leichten Widerhandlungen (und sofern überdies be- stimmte weitere Voraussetzungen erfüllt sind) möglich ist (Art. 16a Abs. 4 bzw. 3 SVG).</w:t>
      </w:r>
    </w:p>
    <w:p>
      <w:r>
        <w:rPr>
          <w:b/>
        </w:rPr>
        <w:t>E. 5.1</w:t>
      </w:r>
    </w:p>
    <w:p>
      <w:r>
        <w:t>Hinsichtlich der Dauer des Führerausweisentzuges sind schliesslich nach Art. 16 Abs. 3 SVG die Umstände des Einzelfalls zu berücksichtigen, namentlich die Gefährdung der Verkehrs- sicherheit, das Verschulden, der Leumund als Motorfahrzeugführer sowie die berufliche Notwen- digkeit, ein Motorfahrzeug zu führen. Die Mindestentzugsdauer darf jedoch nicht unterschritten werden (vgl. BGE 132 II 324 E. 3.2). Nach einer mittelschweren Widerhandlung ist der Führeraus- weis gemäss Art. 16b Abs. 2 lit. a SVG für mindestens einen Monat zu entziehen.</w:t>
      </w:r>
    </w:p>
    <w:p>
      <w:r>
        <w:rPr>
          <w:b/>
        </w:rPr>
        <w:t>E. 5.2</w:t>
      </w:r>
    </w:p>
    <w:p>
      <w:r>
        <w:t>Die Vorinstanz hat dem Beschwerdeführer in der angefochtenen Verfügung den Führer- ausweis für die gesetzlich vorgeschriebene minimale Dauer entzogen. Die verfügte Entzugsdauer von einem Monat ist damit nicht zu beanstanden und darf – obwohl der Beschwerdeführer einen einwandfreien Leumund besitzt und zudem darlegt, er sei auf seinen Führerausweis angewiesen und habe sich bei der Polizei beworben – auf keinen Fall unterschritten werden.</w:t>
      </w:r>
    </w:p>
    <w:p>
      <w:r>
        <w:rPr>
          <w:b/>
        </w:rPr>
        <w:t>E. 6</w:t>
      </w:r>
    </w:p>
    <w:p>
      <w:r>
        <w:t>Im Ergebnis erweist sich damit der von der Vorinstanz verfügte Warnungsentzug des Führeraus- weises für die Dauer von einem Monat, basierend auf einer mittelschweren Widerhandlung, als</w:t>
      </w:r>
    </w:p>
    <w:p>
      <w:r>
        <w:t>Kantonsgericht KG Seite 6 von 6 gerechtfertigt. Die Beschwerde ist damit abzuweisen und die Verfügung der Vorinstanz vom 19. Dezember 2019 zu bestätigen.</w:t>
      </w:r>
    </w:p>
    <w:p>
      <w:r>
        <w:rPr>
          <w:b/>
        </w:rPr>
        <w:t>E. 7</w:t>
      </w:r>
    </w:p>
    <w:p>
      <w:r>
        <w:t>Die Verfahrenskosten, die auf CHF 600.- festgelegt werden, sind dem Verfahrensausgang ent- sprechend dem Beschwerdeführer aufzuerlegen (Art. 131 Abs. 1 VRG; Art. 1 und 2 Art. 1 und 2 des kantonalen Tarifs vom 17. Dezember 1991 der Verfahrenskosten und Entschädigungen in der Verwaltungsjustiz [TarifVJ; SGF 150.12) und mit dem geleisteten Kostenvorschuss zu verrechnen. Eine Parteientschädigung ist nicht geschuldet (Art. 137 Abs. 1 VRG). Der Hof erkennt: I. Die Beschwerde wird abgewiesen. II. Die Gerichtskosten von CHF 600.- werden dem Beschwerdeführer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21. April 2020/yho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