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119 vom 7. Oktober 2020</w:t>
      </w:r>
    </w:p>
    <w:p>
      <w:r>
        <w:t>FR Kantonsgericht, 2020-10-07, FR</w:t>
      </w:r>
    </w:p>
    <w:p>
      <w:r>
        <w:rPr>
          <w:b/>
        </w:rPr>
        <w:t xml:space="preserve">Quelle: </w:t>
      </w:r>
      <w:r>
        <w:t>https://mcp.opencaselaw.ch/entscheid/fr_gerichte_603_2020_119</w:t>
      </w:r>
    </w:p>
    <w:p>
      <w:r>
        <w:t>FR: FR_GERICHTE 603 2020 119 du 7 octobre 2020</w:t>
      </w:r>
    </w:p>
    <w:p>
      <w:r>
        <w:t>IT: FR_GERICHTE 603 2020 119 del 7 ottobre 2020</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les délais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t>Tribunal cantonal TC Page 3 de 5</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w:t>
      </w:r>
    </w:p>
    <w:p>
      <w:r>
        <w:rPr>
          <w:b/>
        </w:rPr>
        <w:t>E. 2</w:t>
      </w:r>
    </w:p>
    <w:p>
      <w:r>
        <w:t>En l'espèce, le recourant ne conteste pas les faits qui lui sont reprochés. Ceux-ci ont également été retenus dans l'ordonnance pénale du 30 avril 2020 et peuvent dès lors être considérés comme établis.</w:t>
      </w:r>
    </w:p>
    <w:p>
      <w:r>
        <w:rPr>
          <w:b/>
        </w:rPr>
        <w:t>E. 3.1</w:t>
      </w:r>
    </w:p>
    <w:p>
      <w:r>
        <w:t>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l'art. 2a al. 2 de l'ordonnance du 13 novembre 1962 sur les règles de la circulation routière (OCR; RS 741.11), il y a influence de l'alcool si le conducteur présente une concentration d’alcool dans l’air expiré de 0,05 mg/l ou plus (let. a).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w:t>
      </w:r>
    </w:p>
    <w:p>
      <w:r>
        <w:rPr>
          <w:b/>
        </w:rPr>
        <w:t>E. 3.2</w:t>
      </w:r>
    </w:p>
    <w:p>
      <w:r>
        <w:t>En l'occurrence, le recourant ne conteste pas avoir circulé avec un taux d’alcoolémie de 0,60 mg/l; partant, en ayant pris le volant en état d’ébriété qualifié, il a violé les dispositions précitées. Le fait qu’on ne lui aurait pas proposé une prise de sang n'y change rien. En effet, l’état d’ébriété, selon les dispositions précitées, se détermine également par la concentration d’alcool dans l’air expiré.</w:t>
      </w:r>
    </w:p>
    <w:p>
      <w:r>
        <w:rPr>
          <w:b/>
        </w:rPr>
        <w:t>E. 4</w:t>
      </w:r>
    </w:p>
    <w:p>
      <w:r>
        <w:t>Selon l’art. 16c al. 1 let. b LCR, commet une infraction grave la personne qui conduit un véhicule automobile en état d’ébriété et présente un taux d’alcool qualifié dans l'haleine ou dans le sang (art. 55 al. 6 LCR). C’est dès lors à juste titre que la CMA a retenu que le recourant avait commis une faute grave en circulant au volant de sa voiture, peu importe si le contrôle se faisait à proximité d’une fête.</w:t>
      </w:r>
    </w:p>
    <w:p>
      <w:r>
        <w:rPr>
          <w:b/>
        </w:rPr>
        <w:t>E. 5.1</w:t>
      </w:r>
    </w:p>
    <w:p>
      <w:r>
        <w:t>A teneur de l'art. 16c al. 2 LCR, après une infraction grave, le permis d'élève conducteur ou le permis de conduire est retiré pour douze mois au minimum, si au cours des cinq années</w:t>
      </w:r>
    </w:p>
    <w:p>
      <w:r>
        <w:t>Tribunal cantonal TC Page 4 de 5 précédentes, le permis a été retiré une fois en raison d'une infraction grave ou à deux reprises en raison d'infractions moyennement graves (let. c). Selon la jurisprudence, en droit de la circulation routière, un conducteur se trouve en état de récidive lorsqu'il commet un délit qui entraîne un retrait du permis obligatoire dans les deux ans - voire cinq ou dix ans - depuis la fin de l'exécution d'un précédent retrait, soit le dernier jour de l'exécution du retrait du permis de conduire (WEISSENBERGER, Kommentar zum Strassenverkehrs- gesetz, 2011, art. 16a-c n° 10; arrêt TF 1C_271/210 du 31 août 2010 consid. 5.3).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5.2</w:t>
      </w:r>
    </w:p>
    <w:p>
      <w:r>
        <w:t>En l'espèce, il faut constater que le recourant a déjà été condamné pour des infractions à la LCR, notamment à un retrait de permis de conduire d’une durée de trois mois le 30 avril 2015, dont la fin de l'exécution remonte au 29 janvier 2016. La nouvelle infraction ayant été commise le 31 août 2019, soit moins de cinq ans après l'exécution du précédent retrait, la CMA se devait de faire application de l'art. 16c al. 2 let. c LCR qui impose un retrait de permis pour la durée minimale de douze mois. Ce faisant, la CMA s'en est dès lors tenue à la durée minimale du retrait; cette durée ne peut être réduite, pour quelque raison que ce soit (cf. art. 16 al. 3, 2ème phrase, LCR; ATF 132 II 234 consid. 2.3). Autrement dit, les besoins professionnels de disposer du permis, tels que le recourant les a exposés dans son écrit, ne peuvent conduire à une réduction de la durée du retrait, limitée au minimum légal. La Cour ajoute que le délai d'épreuve a pour but de constater qu'un conducteur est capable de conduire durant cette période sans commettre de nouvelles infractions, ce qui à l'évidence exclut la prise en compte de périodes durant lesquelles il ne disposait pas de son permis et de prendre comme date déterminante celle de la décision du précédent retrait ou celle de l’infraction y relative, comme souhaité par le recourant. Il sied de souligner à cet égard que le but du système des cascades implique la prise en compte du comportement des conducteurs et de leur respect envers les dispositions de la LCR d’une manière générale. Il s’ensuit qu’on ne peut pas renoncer - comme le demande le recourant - à l’application de l’art. 16c al. 2 let. c LCR parce que l’infraction sanctionnée par la décision du 30 avril 2015 ne concernait pas une conduite en état d’ébriété.</w:t>
      </w:r>
    </w:p>
    <w:p>
      <w:r>
        <w:rPr>
          <w:b/>
        </w:rPr>
        <w:t>E. 6.1</w:t>
      </w:r>
    </w:p>
    <w:p>
      <w:r>
        <w:t>La décision de la CMA s'avère ainsi en tous points conforme aux principes de la légalité et de la proportionnalité. Manifestement, le recourant ne peut pas demander qu’il ne soit pas sanctionné en application de la LCR au motif que, selon lui, d’autres lois ne seraient pas ou moins sévèrement appliquées. Le recours doit dès lors être rejeté et la décision de la CMA confirmée.</w:t>
      </w:r>
    </w:p>
    <w:p>
      <w:r>
        <w:rPr>
          <w:b/>
        </w:rPr>
        <w:t>E. 6.2</w:t>
      </w:r>
    </w:p>
    <w:p>
      <w:r>
        <w:t>Vu l'issue du recours, les frais de procédure doivent être mis à la charge du recourant qui succombe (art. 131 CPJA).</w:t>
      </w:r>
    </w:p>
    <w:p>
      <w:r>
        <w:t>Tribunal cantonal TC Page 5 de 5 la Cour arrête : I. Le recours est rejeté.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7 octobre 2020/jfr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