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105 vom 16. November 2020</w:t>
      </w:r>
    </w:p>
    <w:p>
      <w:r>
        <w:t>FR Kantonsgericht, 2020-11-16, FR</w:t>
      </w:r>
    </w:p>
    <w:p>
      <w:r>
        <w:rPr>
          <w:b/>
        </w:rPr>
        <w:t xml:space="preserve">Quelle: </w:t>
      </w:r>
      <w:r>
        <w:t>https://mcp.opencaselaw.ch/entscheid/fr_gerichte_603_2020_105</w:t>
      </w:r>
    </w:p>
    <w:p>
      <w:r>
        <w:t>FR: FR_GERICHTE 603 2020 105 du 16 novembre 2020</w:t>
      </w:r>
    </w:p>
    <w:p>
      <w:r>
        <w:t>IT: FR_GERICHTE 603 2020 105 del 16 novembre 2020</w:t>
      </w:r>
    </w:p>
    <w:p>
      <w:pPr>
        <w:pStyle w:val="Heading2"/>
      </w:pPr>
      <w:r>
        <w:t>Regeste</w:t>
      </w:r>
    </w:p>
    <w:p>
      <w:r>
        <w:t>Arrêt de la IIIe Cour administrative du Tribunal cantonal | Strassenverkehr und Transportwesen</w:t>
      </w:r>
    </w:p>
    <w:p>
      <w:pPr>
        <w:pStyle w:val="Heading2"/>
      </w:pPr>
      <w:r>
        <w:t>Erwägungen</w:t>
      </w:r>
    </w:p>
    <w:p>
      <w:r>
        <w:rPr>
          <w:b/>
        </w:rPr>
        <w:t>E. 3</w:t>
      </w:r>
    </w:p>
    <w:p>
      <w:r>
        <w:t>décembre 2018 consid. 4.3); que ce comportement était susceptible de mettre en danger la circulation routière, d'autant plus que le recourant utilisait une main pour tenir son appareil: que le risque d'une mise en danger concrète de la circulation ne se soit heureusement pas réalisé en l'occurrence relève du pur cas fortuit qui ne saurait profiter au recourant; que, de même, on ne saurait admettre que la faute commise par ce dernier est particulièrement légère, au sens de bénigne du terme. On n'est nullement en présence d'un malheureux concours de circonstances ou d'un coup du sort, mais bien d'une attitude délibérée de l'intéressé qui a choisi de quitter la route des yeux plus qu'un court instant pour manipuler le téléphone portable qu'il tenait dans la main. Il savait pourtant pertinemment, et plus que quiconque, que ce comportement était non seulement de nature à mettre en danger la circulation routière et qu'il pouvait de surcroît entraîner le prononcé d'une mesure administrative, puisqu'il avait déjà été sanctionné par le prononcé d'un avertissement sévère, en avril 2018, pour des faits identiques. La commission délibérée d'une infraction de même nature sur une si courte période ne trouve aucune excuse. Le recourant ne peut dès lors s'en prendre qu'à lui-même s'il doit en subir les conséquences; que, partant, en retenant que la faute commise par le recourant devait être considérée comme légère mais pas particulièrement bénigne au sens de l'art. 16a al. 4 LCR, l'autorité intimée n'a manifestement pas violé la loi ni commis un excès ou un abus de son pouvoir d'appréciation; que cette appréciation est du reste conforme à celle retenue sur opposition par le juge pénal, qui n'a pas non plus considéré ladite faute comme étant de très peu de gravité - auquel cas il aurait pu renoncer à toute peine (art. 100 LCR) - et qui a, au contraire, sanctionné le recourant en application de l'art. 90 al. 1 LCR, qui poursuit tant l'infraction légère que l'infraction moyennement grave (cf. arrêts TF 6B_1028/2008 du 16 avril 2009 consid. 3.7; TC FR 603 2011 34 du 27 mars 2013 consid. 4c); que, selon l'art. 16a LCR,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mesure administrative n'a été prononcée (al. 3); qu'en l'espèce, durant les deux années précédentes, l'intéressé a fait l'objet d'un avertissement le 26 avril 2018 ainsi que d'un retrait du permis de conduire pour la durée d'un mois, assorti d'une prolongation de la période probatoire, par décision du 6 décembre 2018; que, par conséquent, la nouvelle infraction, bien que légère, devait entraîner un retrait obligatoire du permis, conformément à l'art. 16a al. 2 LCR; que, selon l'art. 15a al. 4 LCR, le permis de conduire à l’essai est caduc lorsque son titulaire commet une seconde infraction entraînant un retrait. Au sens de cette disposition, l'annulation du</w:t>
      </w:r>
    </w:p>
    <w:p>
      <w:r>
        <w:t>Tribunal cantonal TC Page 7 de 8 permis ne dépend pas de la gravité de la faute, mais de la réalisation d'une seconde infraction (ATF 136 II 447 consid. 5.3); que l'art. 35a de l'ordonnance du 27 octobre 1976 réglant l’admission des personnes et des véhicules à la circulation routière (RS 741.51; OAC) dispose que l’annulation s’applique à toutes les catégories et sous-catégories. Elle s’applique aussi aux catégories spéciales lorsque le titulaire ne présente aucune garantie qu’à l’avenir il ne commettra pas d’infractions avec des véhicules des catégories spéciales; que le recourant a déjà fait l'objet d'un retrait de permis de conduire à l'essai, le 6 décembre 2018, et avisé à cette occasion qu'en cas d'une seconde infraction entraînant un retrait, son permis à l'essai devrait être annulé, conformément à l'art. 15a al. 4 LCR; que, partant, c'est à bon droit que la CMA a prononcé l’annulation du permis de conduire à l’essai du recourant, qui s'applique à toutes les catégories et sous-catégories, à l'exception des catégories spéciales, au sens des art. 15a al. 4 LCR et 35a OAC; que c'est à juste titre également qu'elle a précisé, en application de l'art. 15a al. 5 LCR, qu’un nouveau permis d'élève conducteur ne pourrait être délivré au recourant qu'au plus tôt un an après la date de l'infraction commise sur la base d’une expertise psychologique attestant son aptitude à conduire; que, même si elle peut paraître sévère dans son résultat, la décision de la CMA s'avère parfaitement conforme aux principes de la légalité et de la proportionnalité et elle échappe à la critique. Elle répond à la volonté du législateur pour lequel il s'agissait d'améliorer la formation à la conduite automobile, en vue d'aider à l'avenir les groupes les plus accidentogènes à s'intégrer plus sûrement dans la circulation routière. Il a été aussi prévu d'inviter les conducteurs à adopter un comportement plus respectueux des règles de la circulation et, partant, de diminuer les risques d'accident en sanctionnant par des mesures plus sévères - pouvant aller jusqu'à l'annulation du permis de conduire - ceux et celles qui compromettent la sécurité de la route par des infractions (cf. Message du 31 mars 1999 concernant la modification de la LCR, FF 1999 4106 ss, p. 4108); que, pour les motifs qui précèdent, le recours doit être rejeté et la décision litigieuse confirmée; que, vu l’issue du recours, les frais de procédure doivent être mis à la charge du recourant qui succombe (art. 131 CPJA);</w:t>
      </w:r>
    </w:p>
    <w:p>
      <w:r>
        <w:t>Tribunal cantonal TC Page 8 de 8 la Cour arrête : I. Le recours est rejeté. Partant, la décision 10 juin 2020 est confirmée. II. Les frais de procédure, par CHF 600.-,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novembre 2020/mju/sda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