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31 vom 18. Juli 2019</w:t>
      </w:r>
    </w:p>
    <w:p>
      <w:r>
        <w:t>FR Kantonsgericht, 2019-07-18, FR</w:t>
      </w:r>
    </w:p>
    <w:p>
      <w:r>
        <w:rPr>
          <w:b/>
        </w:rPr>
        <w:t xml:space="preserve">Quelle: </w:t>
      </w:r>
      <w:r>
        <w:t>https://mcp.opencaselaw.ch/entscheid/fr_gerichte_603_2019_31</w:t>
      </w:r>
    </w:p>
    <w:p>
      <w:r>
        <w:t>FR: FR_GERICHTE 603 2019 31 du 18 juillet 2019</w:t>
      </w:r>
    </w:p>
    <w:p>
      <w:r>
        <w:t>IT: FR_GERICHTE 603 2019 31 del 18 luglio 2019</w:t>
      </w:r>
    </w:p>
    <w:p>
      <w:pPr>
        <w:pStyle w:val="Heading2"/>
      </w:pPr>
      <w:r>
        <w:t>Regeste</w:t>
      </w:r>
    </w:p>
    <w:p>
      <w:r>
        <w:t>Arrêt de la IIIe Cour administrative du Tribunal cantonal | Strassenverkehr und Transportwesen</w:t>
      </w:r>
    </w:p>
    <w:p>
      <w:pPr>
        <w:pStyle w:val="Heading2"/>
      </w:pPr>
      <w:r>
        <w:t>Erwägungen</w:t>
      </w:r>
    </w:p>
    <w:p>
      <w:r>
        <w:rPr>
          <w:b/>
        </w:rPr>
        <w:t>E. 1.1</w:t>
      </w:r>
    </w:p>
    <w:p>
      <w:r>
        <w:t>Le recours, interjeté dans le délai et les formes prescrits par les art. 79 ss du code fribourgeois du 23 mai 1991 de procédure et de juridiction administrative (CPJA; RSF 150.1), est recevable à la forme. La Cour de céans peut dès lors en examiner les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2</w:t>
      </w:r>
    </w:p>
    <w:p>
      <w:r>
        <w:t>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de la loi du 19 décembre 1958 sur la circulation routière (LCR; RS 741.01)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(cf. RJN 1990 p. 203 consid. 2a; cf. ég. ATF 103 Ib 106).</w:t>
      </w:r>
    </w:p>
    <w:p>
      <w:r>
        <w:rPr>
          <w:b/>
        </w:rPr>
        <w:t>E. 2.1</w:t>
      </w:r>
    </w:p>
    <w:p>
      <w:r>
        <w:t>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(cf. arrêt TF 6A.100/2006 du 28 mars 2007 et les références; KNAPP, Précis de droit administratif, 4e éd., 1991, n. 38). S’agissant de questions purement juridiques, comme celle de la gravité de la faute, l’autorité administrative n’est pas liée par l’appréciation du juge pénal (cf. ATF 115 Ib 163 consid. 2a; arrêts TC FR 3A 2006 84 du</w:t>
      </w:r>
    </w:p>
    <w:p>
      <w:r>
        <w:rPr>
          <w:b/>
        </w:rPr>
        <w:t>E. 2.2</w:t>
      </w:r>
    </w:p>
    <w:p>
      <w:r>
        <w:t>En l'espèce, les faits ont été confirmés au terme d'une procédure pénale complète, dans le cadre de laquelle le recourant a pu faire valoir tous ses arguments. Ils doivent dès lors être considérés comme établis. C'est à juste titre dès lors que l'autorité intimée a retenu que le</w:t>
      </w:r>
    </w:p>
    <w:p>
      <w:r>
        <w:t>Tribunal cantonal TC Page 4 de 7 recourant avait démarré son véhicule alors qu'une personne se trouvait devant et roulé avec ladite personne sur le capot sur une cinquantaine de mètres. Par son comportement, le recourant a à l'évidence enfreint les règles élémentaires de la sécurité routière, de sorte qu'une mesure administrative devait être prononcée à son endroit. La seule question qui se pose est celle de savoir si la CMA a violé le droit ou commis un excès ou un abus de son pouvoir d'appréciation en qualifiant de grave – à l'instar du juge pénal – l'infraction commise.</w:t>
      </w:r>
    </w:p>
    <w:p>
      <w:r>
        <w:rPr>
          <w:b/>
        </w:rPr>
        <w:t>E. 3.1</w:t>
      </w:r>
    </w:p>
    <w:p>
      <w:r>
        <w:t>A teneur de l'art. 30 al. 1 LCR, les conducteurs de véhicules automobiles et de cycles ne doivent transporter des passagers qu'aux places aménagées pour ceux-ci. Selon l'art. 26 al. 1 LCR, chacun doit se comporter, dans la circulation, de manière à ne pas gêner ni mettre en danger ceux qui utilisent la route conformément aux règles établies.</w:t>
      </w:r>
    </w:p>
    <w:p>
      <w:r>
        <w:rPr>
          <w:b/>
        </w:rPr>
        <w:t>E. 3.2</w:t>
      </w:r>
    </w:p>
    <w:p>
      <w:r>
        <w:t>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cf. également ATF 124 II 259 consid. 2b-aa et les arrêts cités). Il ne saurait en revanche être question de tenir compte des besoins professionnels de l'intéressé, ceux-ci ne jouant un rôle que lorsqu'il s'agit de mesurer la durée du retrait (art. 16 al. 3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w:t>
      </w:r>
    </w:p>
    <w:p>
      <w:r>
        <w:t>Tribunal cantonal TC Page 5 de 7 grave et la mise en danger bénigne ou, inversement, si la faute est légère et la mise en danger grave (cf. arrêt TF 6A.16/2006 du 6 avril 2006 consid. 2.1.1 et les références).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(cf. ATF 126 II 202 consid. 1a; 192 consid. 2b; 125 II 561 consid. 2b). La faute légère correspond à une négligence légère. Un tel cas de figure est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L'infraction sanctionnée par l'art. 16c al. 1 let. a LCR, par contre, correspond en principe à la définition de l'infraction réprimée sur le plan pénal par l'ancien art. 90 ch. 2 LCR, désormais art. 90 al. 2 LCR (cf. MIZEL, Les nouvelles dispositions légales sur le retrait du permis de conduire, in RDAF 2004, p. 395). Le Tribunal fédéral tient ces notions pour identiques à tous les égards (cf.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(cf. ATF 122 II 228 consid. 3b = JdT 1996 I 700 et les références). Subjectivement, l'art. 90 ch. 2 LCR exige un comportement sans scrupules ou gravement contraire aux règles de la circulation, découlant à tout le moins d'une négligence grossière (cf. ATF 118 IV 84 consid. 2a).</w:t>
      </w:r>
    </w:p>
    <w:p>
      <w:r>
        <w:rPr>
          <w:b/>
        </w:rPr>
        <w:t>E. 3.3</w:t>
      </w:r>
    </w:p>
    <w:p>
      <w:r>
        <w:t>En l'espèce, il est établi que le recourant a délibérément mis son véhicule en mouvement alors qu'un tiers se trouvait sur l'avant gauche de celui-ci, et qu'il a roulé avec cette personne sur son capot sur une cinquantaine de mètres, avant qu'elle ne puisse descendre. Le recourant a alors encore effectué une marche arrière à une vitesse d'au moins 20 km/h afin de rejoindre son point de départ. Il sied de relever que ces événements se sont déroulés à 23h30, soit en pleine nuit. Par son comportement inadmissible au volant, le recourant a à l'évidence créé un danger sérieux pour la sécurité de son concurrent, dès lors qu'il existait un risque concret que celui-ci tombe et se blesse, voire qu'il se fasse écraser. Il a également mis en danger de manière accrue les autres usagers de la route, qu'il s'agisse de piétons ou d'autres conducteurs de véhicules, en circulant de nuit et avec une visibilité considérablement altérée par la présence d'un homme sur le capot de son véhicule, puis en reculant, de surcroît dans une rue étroite de la ville. Dans ces conditions, le fait qu'il n'y ait pas eu de blessé relève du pur cas fortuit qui ne saurait profiter au recourant, la création d'un danger sérieux pour la sécurité d'autrui étant au demeurant déjà donnée en cas de mise en danger abstraite accrue (cf. ATF 122 II 228 consid. 3b = JdT 1996 I 700 et les références). Incontestablement, la condition objective que constitue une mise en danger sérieuse, au sens de l'art. 16c al. 1 let. a LCR, est en l'espèce réalisée.</w:t>
      </w:r>
    </w:p>
    <w:p>
      <w:r>
        <w:t>Tribunal cantonal TC Page 6 de 7 Par ailleurs, en circulant avec une personne sur le capot de son taxi, le recourant a fait preuve d'un comportement sans scrupule, gravement contraire aux règles de la circulation et particulièrement blâmable, si bien que la faute qu'il a commise se doit d'être qualifiée de grave. On ne saurait retenir à sa décharge, comme il le requiert, qu'il a agi ainsi par peur de l'autre conducteur de taxi. En effet, il ressort du jugement pénal que ce dernier ne l'a pas menacé physiquement et que le recourant est même sorti de son véhicule afin de le dégager de sa voiture (cf. arrêt TC FR 501 2017 114 du 29 octobre 2018, p. 3). Au vu du déroulement des faits, le recourant est en tous les cas malvenu de prétendre que tout conducteur placé dans les mêmes circonstances aurait agi de la sorte. A l'évidence, la condition subjective de la faute grave, telle qu'exigée l'art. 16c al. 1 let. a LCR, est également remplie en l'occurrence. Au vu des motifs qui précèdent, il faut admettre, à l'instar du juge pénal, que le comportement du recourant, bien loin de constituer une violation légère des règles de la circulation, remplit indéniablement les conditions de l'infraction grave.</w:t>
      </w:r>
    </w:p>
    <w:p>
      <w:r>
        <w:rPr>
          <w:b/>
        </w:rPr>
        <w:t>E. 4.1</w:t>
      </w:r>
    </w:p>
    <w:p>
      <w:r>
        <w:t>A teneur de l’art. 16c al. 2 let. b LCR, après une infraction grave, le permis d’élève conducteur ou le permis de conduire est retiré pour six mois au minimum si, au cours des cinq années précédentes, le permis a été retiré une fois en raison d'une infraction moyennement grave. Selon l’art. 16 al. 3 LCR, les circonstances doivent être prises en considération pour fixer la durée du retrait de permis d’élève conducteur ou du retrait de permis de conduire, notamment l’atteinte à la sécurité routière, la gravité de la faute, les antécédents en tant que conducteur ainsi que la nécessité professionnelle de conduire un véhicule automobile. La durée minimale du retrait ne peut toutefois être réduite. La règle de l’art. 16 al. 3, dernière phrase, LCR, qui rend incompressibles les durées minimales de retrait de permis, a été introduite dans la loi par souci d’uniformité. Le législateur a ainsi entendu exclure expressément la possibilité, ouverte par la jurisprudence sous l’ancien droit, de réduire la durée minimale du retrait en présence de circonstances particulières (cf. FF 1999 IV 4106, 4131; ATF 132 II 234 consid. 2.3).</w:t>
      </w:r>
    </w:p>
    <w:p>
      <w:r>
        <w:rPr>
          <w:b/>
        </w:rPr>
        <w:t>E. 4.2</w:t>
      </w:r>
    </w:p>
    <w:p>
      <w:r>
        <w:t>En l'occurrence, le recourant a déjà fait l'objet d'un retrait du permis de conduire d'une durée d'un mois, mesure exécutée jusqu'au 12 novembre 2014, en raison d'une infraction moyennement grave (excès de vitesse de 26 km/h hors localité), de sorte que l'infraction grave commise moins de deux ans plus tard devait nécessairement entraîner le retrait du permis d'une durée de six mois, en application de l'art. 16c al. 2 let. b précité. Dès lors, en fixant à six mois la durée du retrait du permis du recourant, l’autorité intimée s’en est tenue au minimum légal prévu par l’art. 16c al. 2 let. b LCR. Cette durée ne peut être réduite, pour quelque motif que ce soit (cf. ATF 132 II 234 consid. 2.3).</w:t>
      </w:r>
    </w:p>
    <w:p>
      <w:r>
        <w:rPr>
          <w:b/>
        </w:rPr>
        <w:t>E. 5</w:t>
      </w:r>
    </w:p>
    <w:p>
      <w:r>
        <w:t>Pour l’ensemble des motifs qui précèdent, la décision de la CMA doit être confirmée et le recours rejeté.</w:t>
      </w:r>
    </w:p>
    <w:p>
      <w:r>
        <w:rPr>
          <w:b/>
        </w:rPr>
        <w:t>E. 6</w:t>
      </w:r>
    </w:p>
    <w:p>
      <w:r>
        <w:t>Le recourant a demandé l'octroi de l'assistance judiciaire totale et gratuite et la désignation de son mandataire comme défenseur d'office (603 2019 32).</w:t>
      </w:r>
    </w:p>
    <w:p>
      <w:r>
        <w:rPr>
          <w:b/>
        </w:rPr>
        <w:t>E. 6.1</w:t>
      </w:r>
    </w:p>
    <w:p>
      <w:r>
        <w:t>Aux termes de l'art. 142 CPJA, a droit à l'assistance judiciaire la partie qui ne dispose pas de ressources suffisantes pour supporter les frais d'une procédure sans s'exposer à la privation des choses nécessaires à son existence ou à celle de sa famille (al. 1). L'assistance n'est pas</w:t>
      </w:r>
    </w:p>
    <w:p>
      <w:r>
        <w:t>Tribunal cantonal TC Page 7 de 7 accordée lorsque la procédure paraît d'emblée vouée à l'échec pour un plaideur raisonnable (al. 2). L'assistance est retirée lorsque les conditions de son octroi disparaissent en cours de procédure (al. 3).</w:t>
      </w:r>
    </w:p>
    <w:p>
      <w:r>
        <w:rPr>
          <w:b/>
        </w:rPr>
        <w:t>E. 6.2</w:t>
      </w:r>
    </w:p>
    <w:p>
      <w:r>
        <w:t>En l'espèce, au vu des faits reprochés au recourant, sanctionnés sur le plan pénal par un jugement entré en force, le recours était d’emblée dénué de toute chance de succès. A l'évidence, l'infraction commise devait être qualifiée de grave, au sens de l'art. 16c al. 1 let. a LCR, et, compte tenu des antécédents du recourant, son permis devait être retiré pour la durée de six mois au moins, conformément à l'art. 16c al. 2 let. b LCR. La CMA s'en est tenue à cette durée minimale, de sorte que sa décision échappe en tous points à la critique. Partant, le recourant n’a pas droit à l’assistance judiciaire qu’il requiert (art. 142 al. 2 CPJA). Les frais de la présente procédure devraient dès lors être mis à la charge du recourant qui succombe, en application de l'art. 131 CPJA. Il y a lieu toutefois de renoncer à en percevoir (art. 129 CPJA), compte tenu de sa situation financière obérée. Ayant succombé, le recourant n'a en revanche pas droit à une indemnité de partie (art. 137 CPJA). la Cour arrête : I. Le recours (603 2019 31) est rejeté. Partant, la décision du 14 février 2019 est confirmée. II. La demande d'assistance judiciaire totale (603 2019 32) est rejetée. III. Il n'est pas perçu de frais de procédure. IV. Il n'est pas alloué d'indemnité de partie. V. Notification. Cette décision peut faire l'objet d'un recours auprès du Tribunal fédéral, à Lausanne, dans les 30 jours dès sa notification. Fribourg, le 18 juillet 2019/mju/eda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