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154 vom 21. Januar 2020</w:t>
      </w:r>
    </w:p>
    <w:p>
      <w:r>
        <w:t>FR Kantonsgericht, 2020-01-21, DE</w:t>
      </w:r>
    </w:p>
    <w:p>
      <w:r>
        <w:rPr>
          <w:b/>
        </w:rPr>
        <w:t xml:space="preserve">Quelle: </w:t>
      </w:r>
      <w:r>
        <w:t>https://mcp.opencaselaw.ch/entscheid/fr_gerichte_603_2019_154</w:t>
      </w:r>
    </w:p>
    <w:p>
      <w:r>
        <w:t>FR: FR_GERICHTE 603 2019 154 du 21 janvier 2020</w:t>
      </w:r>
    </w:p>
    <w:p>
      <w:r>
        <w:t>IT: FR_GERICHTE 603 2019 154 del 21 gennaio 2020</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Bst.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t>Kantonsgericht KG Seite 3 von 4</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w:t>
      </w:r>
    </w:p>
    <w:p>
      <w:r>
        <w:t>Der Beschwerdeführer bestreitet den von der KAM festgestellten Sachverhalt und den Umstand, dass ihm der Führerausweis aufgrund einer leichten Widerhandlung entzogen werden muss, nicht. Die Beschwerde richtet sich gegen die Erhöhung der Mindestentzugsdauer um einen Monat. Demnach hat das Gericht lediglich die verfügte Entzugsdauer zu überprüfen.</w:t>
      </w:r>
    </w:p>
    <w:p>
      <w:r>
        <w:rPr>
          <w:b/>
        </w:rPr>
        <w:t>E. 4.1</w:t>
      </w:r>
    </w:p>
    <w:p>
      <w:r>
        <w:t>Nach Art. 16a SVG wird der Lernfahr- oder Führerausweis nach einer leichten Widerhand- lung für mindestens einen Monat entzogen, wenn in den vorangegangenen zwei Jahren der Ausweis entzogen war oder eine andere Administrativmassnahme verfügt wurde (Abs. 1). Die fehl- bare Person wird verwarnt, wenn in den zwei vorangegangenen Jahren der Ausweis entzogen war und keine andere Administrativmassnahme verfügt wurde (Abs. 2). Bei der Festsetzung der Entzugsdauer sind gemäss Art. 16 Abs. 3 SVG die Umstände des Einzel- falls zu berücksichtigen, namentlich die Gefährdung der Verkehrssicherheit, das Verschulden, der Leumund als Motorfahrzeugführer sowie die berufliche Notwendigkeit, ein Motorfahrzeug zu führen. Die Mindestentzugsdauer darf jedoch nicht unterschritten werden. Die in dieser Bestim- mung beispielhaft genannten Zumessungsfaktoren sind gesamthaft zu würdigen und die Entzugs- dauer ist im Einzelfall so festzusetzen, dass die mit der Massnahme beabsichtigte erzieherische und präventive Wirkung am besten erreicht wird. Bei der Bemessung der Entzugsdauer steht den kantonalen Behörden ein weiter Ermessensspielraum zu (WEISSENBERGER, Kommentar zum Strassenverkehrsgesetz, Bundesgerichtspraxis, 2011 Rz. 7 und 11 zu Art. 16). Das SVG sieht bei leichten, mittelschweren und schweren Widerhandlungen abgestufte Mindest- dauern der Ausweisentzüge vor. Diese gesetzliche Abstufung trägt insbesondere dem Umstand Rechnung, ob bereits früher Widerhandlungen erfolgt sind und wie weit diese zeitlich zurückliegen (sogenanntes "Kaskadensystem" der Mindestentzugsdauer). Der Gesetzgeber wollte damit insbe- sondere Ersttäter privilegieren sowie Fälle, bei denen frühere Widerhandlungen zeitlich schon weit zurückliegen (Urteil BGer 1C_275/2007 vom 16. Mai 2008 E. 4.3.1 mit Hinweisen).</w:t>
      </w:r>
    </w:p>
    <w:p>
      <w:r>
        <w:rPr>
          <w:b/>
        </w:rPr>
        <w:t>E. 4.2</w:t>
      </w:r>
    </w:p>
    <w:p>
      <w:r>
        <w:t>Die KAM begründete die Erhöhung der Entzugsdauer über die Mindestentzugsdauer summarisch mit dem Leumund des Motorfahrzeugführers. Der Gerichtshof stellt im konkreten Fall, in Übereinstimmung mit der Vorinstanz, fest, dass der Leumund des Beschwerdeführers als schlecht qualifiziert werden muss. In den vorangegangenen zwei Jahren wurde nicht nur eine Administrativmassnahme verfügt, was schon in Anwendung von Art. 16a Abs. 1 SVG die Vorinstanz zwingt, den Ausweis für die Mindestentzugsdauer von einem Monat zu entziehen, sondern zwei Massnahmen, und zwar einen Entzug (Verfügungsdatum 12. September 2018) und eine Verwarnung (Verfügungsdatum 12. September 2018). Zu erwähnen ist zudem, dass er schon einmal eine schwere Widerhandlung begangen hat. Ferner vertritt er in seiner Beschwerde die Ansicht, dass es sich von selbst verstehe, dass es bei einer hohen Jahres- kilometerleistung ab und zu eine Busse gebe, was zumindest eine gewisse Nonchalance zum Ausdruck bringt. Daran ändert nichts, dass er jahrelang unfallfrei gefahren ist, kein Alkohol und</w:t>
      </w:r>
    </w:p>
    <w:p>
      <w:r>
        <w:t>Kantonsgericht KG Seite 4 von 4 keine Drogen konsumiert und dass die Grenze, ab welcher eine mittelschwere Verkehrsregelver- letzung angenommen wird, nur um 1 km/h überschritten wurde. Im Ergebnis erweist sich mithin der von der Vorinstanz verfügte Entzug des Führerausweises für die Dauer von zwei Monaten – d. h. über das gesetzliche Mindestmass – wegen einer leichten Widerhandlung als gerechtfertigt.</w:t>
      </w:r>
    </w:p>
    <w:p>
      <w:r>
        <w:rPr>
          <w:b/>
        </w:rPr>
        <w:t>E. 5</w:t>
      </w:r>
    </w:p>
    <w:p>
      <w:r>
        <w:t>Die Beschwerde ist somit abzuweisen und die Verfügung der Vorinstanz vom 26. September 2019 ist zu bestätigen.</w:t>
      </w:r>
    </w:p>
    <w:p>
      <w:r>
        <w:rPr>
          <w:b/>
        </w:rPr>
        <w:t>E. 6.1</w:t>
      </w:r>
    </w:p>
    <w:p>
      <w:r>
        <w:t>Die Kosten, die auf CHF 600.- festgelegt und mit dem geleisteten Kostenvorschuss verrechnet werden, sind dem Verfahrensausgang entsprechend dem Beschwerdeführer aufzuerle- gen (Art. 131 Abs. 1 VRG; Art. 1 und 2 des Tarifs vom 17. Dezember 1991 der Verfahrenskosten und Entschädigungen in der Verwaltungsjustiz [TarifVJ; SGF 150.12]).</w:t>
      </w:r>
    </w:p>
    <w:p>
      <w:r>
        <w:rPr>
          <w:b/>
        </w:rPr>
        <w:t>E. 6.2</w:t>
      </w:r>
    </w:p>
    <w:p>
      <w:r>
        <w:t>Eine Parteientschädigung ist nicht geschuldet (Art. 137 Abs. 1 VRG). Der Hof erkennt: I. Die Beschwerde von A.________ wird abgewiesen. II. Die Gerichtskosten von CHF 600.- werden A.________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Januar 2020/yho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