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150 vom 2. Dezember 2019</w:t>
      </w:r>
    </w:p>
    <w:p>
      <w:r>
        <w:t>FR Kantonsgericht, 2019-12-02, FR</w:t>
      </w:r>
    </w:p>
    <w:p>
      <w:r>
        <w:rPr>
          <w:b/>
        </w:rPr>
        <w:t xml:space="preserve">Quelle: </w:t>
      </w:r>
      <w:r>
        <w:t>https://mcp.opencaselaw.ch/entscheid/fr_gerichte_603_2019_150</w:t>
      </w:r>
    </w:p>
    <w:p>
      <w:r>
        <w:t>FR: FR_GERICHTE 603 2019 150 du 2 décembre 2019</w:t>
      </w:r>
    </w:p>
    <w:p>
      <w:r>
        <w:t>IT: FR_GERICHTE 603 2019 150 del 2 dicembre 2019</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en excédant de 44 km/h la vitesse de 120 km/h autorisée sur l'autoroute. Elle a pris en compte le fait que l'intéressé avait déjà fait l'objet d'un retrait de sécurité du permis de conduire – avec un délai d'attente de 24 mois – pour ivresse au volant (décision du 17 octobre 2013), d'une interdiction de faire usage du permis de conduire étranger à titre de sécurité – avec un délai d'attente de douze mois – pour ivresse au volant (décision du 13 septembre 2012) et d'une interdiction de faire usage du permis étranger de six mois pour ivresse au volant (décision du 7 janvier 2010). En outre, elle a indiqué qu'au terme de la durée minimale du retrait, le conducteur devra prouver, par le biais d'une expertise, qu'il est apte à la conduite en application de l'art. 17 al. 3 LCR. Enfin, elle a précisé que, compte tenu de l'écoulement du temps depuis la suspension de son droit de conduire, il devra également se soumettre à nouveau aux examens de conduite théorique et pratique. E. Par mémoire du 9 octobre 2019, l'intéressé a recouru contre cette décision auprès du Tribunal cantonal en concluant, implicitement du moins, à son annulation. Le recourant ne conteste pas l'excès de vitesse commis. Il explique en revanche que, le 7 juin 2019, il a reçu un appel téléphonique de son épouse alors enceinte. Il relève qu'elle était en état de panique et n'arrivait plus à respirer. Il soutient que, gagné par la peur pour la vie de son épouse et de leur futur enfant et convaincu qu'il s'agissait d'une urgence, il est parti assister son épouse lorsqu'il a commis l'excès de vitesse en question. Le recourant indique qu'il faut ainsi tenir compte, pour apprécier sa culpabilité, des circonstances tout à fait exceptionnelles dans lesquelles le dépassement de vitesse a été commis. Par courrier spontané mis à la poste le 28 octobre 2019, le recourant a encore versé au dossier de la procédure un document de son opérateur de téléphonie mobile contenant les numéros composés le 7 juin 2019. F. Dans ses observations du 15 novembre 2019, la CMA conclut au rejet du recours, en se référant à sa décision ainsi qu'aux autres pièces du dossier.</w:t>
      </w:r>
    </w:p>
    <w:p>
      <w:r>
        <w:t>Tribunal cantonal TC Page 3 de 6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3. 3.1. Selon l'art. 27 al. 1, 1ère phrase, LCR, chacun se conformera aux signaux et aux marques ainsi qu'aux ordres de la police. En application de l'art. 32 al. 2 LCR, le Conseil fédéral a fixé les</w:t>
      </w:r>
    </w:p>
    <w:p>
      <w:r>
        <w:t>Tribunal cantonal TC Page 4 de 6 limitations générales de vitesse des véhicules automobiles à l'art. 4a de l'ordonnance du 13 novembre 1962 sur les règles de la circulation routière (OCR; RS 741.11). Cette disposition prévoit, en son alinéa 1er, que la vitesse maximale générale peut atteindre, lorsque les conditions de la route, de la circulation et de visibilité sont favorables, 50 km/h dans les localités (let. a), 80 km/h hors des localités, à l'exception des semi-autoroutes et des autoroutes (let. b), 100 km/h sur les semi-autoroutes (let. c) et 120 km/h sur les autoroutes (let. d). 3.2. En l'occurrence, le recourant ne conteste pas les faits qui lui sont reprochés. Du reste, par ordonnance pénale du 26 août 2019, le Ministère public l'a reconnu coupable de violation grave des règles de la circulation routière, en application de l'art. 90 al. 2 LCR, et l'a condamné à une peine pécuniaire sans sursis et aux frais de procédure. Partant, il y a lieu de retenir que le recourant a circulé en dépassant de 44 km/h la vitesse de 120 km/h autorisée sur l'autoroute. 4. 4.1. Selon l'art. 16c al. 1 let. a LCR, commet une infraction grave la personne qui, en violant gravement les règles de la circulation, crée un danger pour la sécurité d'autrui ou en prend le risque.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 autoroutes, et de 35 km/h ou plus sur les autoroutes (ATF 132 II 234 consid. 3.2; arrêt TF 1C_125/2016 du 25 octobre 2016 consid. 3.1).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4.2. En l'espèce, le recourant a dépassé de 44 km/h la vitesse maximale de 120 km/h sur l'autoroute, ce qui est objectivement constitutif – en application de la jurisprudence susmentionnée – d'une infraction grave (art. 16c al. 1 let. a LCR). Aucun élément au dossier n'est susceptible de justifier de se distancier de cette appréciation. Les circonstances du cas d'espèce sont certes particulières. En effet, l'infraction a été commise alors que le recourant se rendait à son domicile pour assister son épouse enceinte de leur premier enfant et qui souffrait de problèmes respiratoires. Si un état de stress naturel semble compréhensible, il n'en demeure pas moins que le fait de rouler à une si grande vitesse n'était manifestement pas nécessaire pour préserver son épouse d'un danger imminent et impossible à détourner autrement. On note d'ailleurs qu'un état de nécessité ne saurait qu'exceptionnellement justifier un excès de vitesse aussi important au vu des biens juridiques qui sont mis en danger (cf. notamment ATF 116 IV 364 / JdT 1991 I 739 consid. 1a). En l'espèce, le Juge pénal a du reste</w:t>
      </w:r>
    </w:p>
    <w:p>
      <w:r>
        <w:t>Tribunal cantonal TC Page 5 de 6 condamné le recourant sans retenir l'existence d'un état de nécessité. Si le recourant estimait que son épouse se trouvait en danger, il aurait dû appeler une ambulance. Or, en dépassant la vitesse maximale de 120 km/h sur l'autoroute de 44 km/h, le comportement du recourant a incontestablement représenté une source de danger considérable pour les autres usagers de la route et pour lui-même. A l'évidence, un tel excès de vitesse est propre à provoquer une situation d'insécurité et justifie dès lors de retenir l'existence d'une mise en danger abstraite accrue de la circulation; le fait que l'infraction commise n'ait heureusement pas entraîné de mise en danger concrète de la circulation relève du pur cas fortuit qui ne saurait profiter au recourant. Par ailleurs, le dépassement de vitesse commis se situe largement au-dessus de la limite à partir de laquelle la jurisprudence considère le cas comme objectivement grave sur l'autoroute (soit un dépassement de 35 km/h). 5. 5.1. Selon l'art. 16c al. 2 let. e LCR, après une infraction grave, le permis d'élève conducteur ou le permis de conduire est retiré définitivement si, au cours des cinq années précédentes, le permis a été retiré en application de la let. d ou de l'art. 16b al. 2 let. e. Cette disposition représente la dernière étape du système dit des mesures "en cascade": les personnes auxquelles il a fallu retirer le permis de conduire conformément à la let. d seront soumises à un délai d'épreuve supplémentaire d'une durée de cinq ans, ce qui, en cas de récidive, conduira pratiquement à un retrait définitif du permis de conduire (Message du Conseil fédéral concernant la modification de la loi fédérale sur la circulation routière du 31 mars 1999, FF 1999 IV 4135).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précité, FF 1999 IV 4131; ATF 132 II 234 consid. 2.3). 5.2. En l'occurrence, l'autorité intimée a définitivement retiré le permis de conduire du recourant. En effet, le conducteur s'est vu retirer son permis en application de l'art. 16c al. 2 let. d LCR pour une durée indéterminée, avec un minimum de deux ans, en 2013, mesure qui a pris fin le 27 octobre 2016, soit moins de cinq ans avant la commission de l'infraction litigieuse du 7 juin 2019. Il se justifiait dès lors de lui retirer définitivement son permis de conduire, mesure qui ne peut être réexaminée qu'après un délai de cinq ans (cf. art. 17 al. 4 et 23 al. 3 LCR; arrêt TF 1C_32/2015 du 18 juin 2015 consid. 6.1 in fine) et aux conditions fixées dans la décision (art. 14 al. 2 let. b et d LCR). En effet, les mesures fondées sur l'art. 16c al. 2 let. d et e constituent des retraits de sécurité, dès lors qu'elles tendent à exclure de la circulation routière un conducteur multirécidiviste considéré comme un danger public (cf. arrêt TF précité). On doit ainsi conditionner une future demande de permis à la preuve que le recourant dispose des aptitudes caractérielles pour pouvoir conduire à nouveau. Il y a lieu de préciser que les conditions mises à une future restitution sont susceptibles de représenter une atteinte à la liberté personnelle au sens de l'art. 10 al. 2 Cst., laquelle n'est</w:t>
      </w:r>
    </w:p>
    <w:p>
      <w:r>
        <w:t>Tribunal cantonal TC Page 6 de 6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 pour exiger du recourant qu'il se soumette à nouveau à un examen pratique et théorique. Déjà privé de son permis dans le passé pendant de longues périodes, son droit de conduire va être retiré durant les cinq années à venir. Compte tenu de ce laps de temps, il s'avère proportionné de lui imposer de passer à nouveau ses examens de conduite, la pratique régulière et l'application des connaissances théoriques pouvant faire manifestement défaut dans ces conditions. 6. Pour l'ensemble des motifs qui précèdent, la décision de la CMA, conforme aux principes de la légalité et de la proportionnalité, échappe à la critique et doit être confirmée. Partant, le recours doit être rejeté. 7.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Partant, la décision de la Commission des mesures administratives en matière de circulation routière du 29 août 2019 est confirmée.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décembre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