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137 vom 24. April 2020</w:t>
      </w:r>
    </w:p>
    <w:p>
      <w:r>
        <w:t>FR Kantonsgericht, 2020-04-24, FR</w:t>
      </w:r>
    </w:p>
    <w:p>
      <w:r>
        <w:rPr>
          <w:b/>
        </w:rPr>
        <w:t xml:space="preserve">Quelle: </w:t>
      </w:r>
      <w:r>
        <w:t>https://mcp.opencaselaw.ch/entscheid/fr_gerichte_603_2019_137</w:t>
      </w:r>
    </w:p>
    <w:p>
      <w:r>
        <w:t>FR: FR_GERICHTE 603 2019 137 du 24 avril 2020</w:t>
      </w:r>
    </w:p>
    <w:p>
      <w:r>
        <w:t>IT: FR_GERICHTE 603 2019 137 del 24 aprile 2020</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et l'a condamné à une amende de CHF 400.- ainsi qu'aux frais judiciaires. L'autorité pénale a retenu qu'alors qu'il circulait en file sur l'autoroute A1 Lausanne-Genève, le recourant n'avait pas maintenu une distance suffisante avec la voiture qui le précédait et que, lors d'un freinage, il avait perdu la maîtrise de son véhicule et provoqué un accident. Non contesté, ce jugement est entré en force. E. Par décision du 18 juillet 2019, la CMA a prononcé le retrait du permis de conduire de A.________ pour la durée de deux mois. Elle a retenu que le précité avait commis une infraction moyennement grave au sens de l'art. 16b al. 1 let. a LCR en maintenant une distance insuffisante en circulant en file, en perdant la maîtrise de son véhicule et en provoquant un accident. F. Par mémoire du 12 septembre 2019, le précité a recouru contre cette décision auprès du Tribunal cantonal en concluant – sous suite de frais et dépens – principalement au prononcé d'un avertissement et, subsidiairement, au prononcé d'un retrait de permis de la durée d'un mois. Il ne conteste pas les faits établis par l'autorité pénale mais bien la qualification juridique retenue par l'autorité intimée. Il invoque en outre une violation de son droit d'être entendu, dans la mesure où la décision attaquée ne contient aucune motivation qui permettrait d'expliquer les raisons qui ont poussé l'autorité précédente à qualifier de moyennement grave l'infraction commise, ni pourquoi elle s'était distanciée de la durée minimale de retrait prévue à l'art. 16b al. 3 LCR.</w:t>
      </w:r>
    </w:p>
    <w:p>
      <w:r>
        <w:t>Tribunal cantonal TC Page 3 de 10 en droit 1. Interjeté dans le délai et les formes prescrits (art. 79 ss du code fribourgeois du 21 mai 1991 de procédure et de juridiction administrative; CPJA; RSF 150.1) - l'avance des frais de procédure ayant en outre été versée en temps utile - le recours est recevable à la forme et la Cour de céans peut en examiner les mérites. 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Le recourant se plaint d'une violation de son droit d'être entendu, dans la mesure où la décision contestée ne mentionne pas les motifs qui ont conduit l'autorité intimée à retenir la commission d'une infraction moyennement grave et où, en outre, elle s'est écartée de la durée minimale du retrait prescrite. 2.1. Le droit d'être entendu – garanti par l'art. 29 al. 2 Cst., par l'art. 6 par.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2011, vol. II, p. 348 ch. 2.2.8.3 et la jurisprudence citée). Le respect de l'obligation de motiver une décision administrative sera d'autant plus nécessaire si cette obligation découle, comme en l'espèce, du droit cantonal (cf.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Par exception au principe de la nature formelle du droit d'être entendu, une violation de celui-ci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126 V 130 consid. 2b).</w:t>
      </w:r>
    </w:p>
    <w:p>
      <w:r>
        <w:t>Tribunal cantonal TC Page 4 de 10 2.2. En l'espèce, la décision de la CMA du 18 juillet 2019 répond aux exigences minimales de motivation. Elle mentionne la mesure ordonnée et les voies de droit, l'infraction retenue, les dispositions légales applicables, la qualification de l'infraction et les antécédents de l'intéressé comme conducteur de véhicules automobiles; elle précise également que l'autorité a pris note des observations écrites déposées. Sur la base de ces indications, le recourant - au demeurant représenté par un mandataire professionnel - a pu valablement recourir et faire valoir tous ses griefs par devant l'autorité de céans. En particulier, il a pu formuler des conclusions claires - en lien notamment avec la qualification juridique de l'infraction et la durée du retrait du permis - lesquelles seront examinées dans le présent arrêt. Dans ces conditions, le grief de violation du droit d'être entendu pour défaut de motivation de la décision doit être écarté. 3. 3.1. Il est reproché au recourant d'avoir circulé en file sur l'autoroute à une distance insuffisante du véhicule qui le précédait et, lors d'un freinage, d'avoir perdu la maîtrise de son véhicule et d'avoir occasionné un accident. Cet état de fait a été établi par l'autorité pénale, dans son ordonnance non contestée du 1er juillet 2019. Le recourant ne le remet pas en cause dans la présente procédure. 3.2. Selon l’art. 31 al. 1 LCR, le conducteur devra rester constamment maître de son véhicule de façon à pouvoir se conformer aux devoirs de la prudence.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 prévisibles. L’attention requise du conducteur implique que celui-ci soit en mesure de parer rapidement aux dangers qui menacent la vie, l’intégrité corporelle ou les biens matériels d’autrui (cf. BUSSY/RUSCONI, Code suisse de la circulation routière commenté, 2015, art. 31 LCR n. 2 ss).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(cf. BUSSY/RUSCONI, art. 32 LCR n. 1.1). On considère que la vitesse est adaptée lorsqu’elle permet, compte tenu des circonstances, de ralentir au bon moment, voire d’arrêter, le véhicule afin de ne pas entraver ni de mettre en danger ceux qui utilisent la chaussée conformément aux règles établies (cf. BUSSY/RUSCONI, art. 32 LCR n. 1.2). 3.3. Selon l'art. 34 al. 4 LCR, le conducteur observera une distance suffisante envers tous les usagers de la route, notamment pour croiser, dépasser et circuler de front ou lorsque des véhicules se suivent. L'art. 12 al. 1 de l'ordonnance du 13 novembre 1962 sur la circulation routière (OCR; RS 741.11) précise que, lorsque des véhicules se suivent, le conducteur doit se tenir à une distance suffisante du véhicule qui le précède, afin de pouvoir s'arrêter à temps en cas de freinage inattendu.</w:t>
      </w:r>
    </w:p>
    <w:p>
      <w:r>
        <w:t>Tribunal cantonal TC Page 5 de 10 Ces dispositions sont d'une importance considérable, car les cas d'accidents où le deuxième véhicule ne respecte pas une distance de sécurité suffisante avec le premier sont nombreux (ATF 126 II 358 consid. 1 a). La jurisprudence a maintes fois confirmé qu'une distance suffisante, au sens de l'art. 34 al. 4 LCR, doit toujours être observée (ATF 115 IV 248 consid. 3a; 131 IV 133; arrêts TF 1C_502/2011 du 6 mars 2012; 1C_590/2015 du 10 août 2016; 1C_26/2018 du 15 juin 2018). Néanmoins,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Ainsi,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(cf. BUSSY/RUSCONI, art. 34 LCR n. 5.2). 3.4. En l'espèce, il est établi que le recourant a violé les dispositions qui précèdent, de sorte qu'une mesure administrative devait être prononcée à son endroit, ce que le recourant ne conteste pas. En revanche, il reproche principalement à l'autorité intimée d'avoir retenu la commission d'une infraction moyennement grave 4. 4.1.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w:t>
      </w:r>
    </w:p>
    <w:p>
      <w:r>
        <w:t>Tribunal cantonal TC Page 6 de 10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Ainsi,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Finalement, la faute légère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4.2.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(arrêts TF 1C_590/2015 du 10 août 2016 consid. 3.2, 1C_502/2011 du 6 mars 2012 consid. 3.1; ATF 131 IV 133 consid. 3.1 p. 135; 104 IV 192 consid. 2b p. 194). Cet intervalle doit en principe être maintenu entre chaque véhicule, sous peine de compromettre gravement la sécurité de la circulation (JdT 1994 I 684, 1993 I 694, 1988 I 650). Un cas peut être grave lorsque l'intervalle entre les véhicules est inférieur à 0.8 voire 0.6 seconde (ATF 131 IV 133 consid. 3.2.2 et les références citées). Dans quelques cas cités par la jurisprudence, la faute a néanmoins été qualifiée de moyennement grave au sens de l'art. 16b LCR, par exemple lorsqu'un conducteur a suivi, à une vitesse de 100 km/h, une voiture à une</w:t>
      </w:r>
    </w:p>
    <w:p>
      <w:r>
        <w:t>Tribunal cantonal TC Page 7 de 10 distance entre 20 et 25 mètres (0.9 seconde [arrêt 1C_424/2012 du 15 janvier 2013]) et lorsque l'écart entre les véhicules était de 26 mètres pour une vitesse de 124 km/h (0.8 seconde [arrêt 1C_183/2013 du 21 juin 2013]). 4.3. En l'espèce, après le premier freinage qu'il déclare avoir dû effectuer en urgence, le recourant n'a pas maintenu une distance suffisante avec le véhicule qui le précédait - dix mètres seulement selon ses déclarations, alors que le conducteur qui le précédait a indiqué qu'il roulait à environ 60 km/h - et, lors d'un nouveau ralentissement du trafic, il n'a pas pu freiner à temps et a perdu la maîtrise de son engin qui a percuté la voiture qui le précédait. Pourtant, tout conducteur doit s'attendre à des ralentissements dans une circulation en file sur l'autoroute - lesquels ne constituent manifestement pas un évènement imprévisible - et doit être en mesure de réagir à temps pour éviter toute collision. A l'évidence, l'accident causé par le recourant découle du non- respect de règles essentielles de la circulation routière. Comme telle, la faute commise ne saurait être considérée comme légère, au sens de "bénigne" du terme. Elle a en outre été à l'origine d'une mise en danger concrète de la circulation, puisque le recourant a embouti la voiture qui le précédait. Les deux véhicules accidentés ont été immobilisés sur la voie de gauche de l'autoroute, à une heure où le trafic était dense, ce qui a également entraîné une réelle mise en danger des autres des usagers de la route, le risque de collision en chaîne étant alors sérieux. 4.4. Dans la mesure où ni la faute commise, ni la mise en danger qui en a résulté ne peut être qualifiée de légère, une infraction légère ne pouvait en aucun cas être retenue. Partant, l'appréciation de l'autorité intimée, qui a qualifié l'infraction de moyennement grave, échappe à toute critique. Cette qualification juridique est du reste conforme à celle retenue par le juge pénal, qui a fait application de l'art. 90 al. 1 LCR, disposition qui sanctionne tant l'infraction légère que l'infraction moyennement grave; de plus,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 TC FR 603 2011 20 du 28 février 2013). Au surplus, il convient de rappeler, que s’agissant de questions purement juridiques, comme celle de la gravité de la faute, l’autorité administrative n’est pas liée par l’appréciation du juge pénal (cf. ATF 124 II consid. 3c/aa; 115 Ib 163 consid. 2a; arrêts TC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5. 5.1 Selon l'art. 16b al. 2 let. a LCR, après une infraction moyennement grave, le permis de conduire est retiré pour un mois au minimum. Selon l'art. 16 al. 3 LCR, les circonstances doivent</w:t>
      </w:r>
    </w:p>
    <w:p>
      <w:r>
        <w:t>Tribunal cantonal TC Page 8 de 10 être prises en considération pour fixer la durée du retrait du permis, notamment l'atteinte à la sécurité routière, la gravité de la faute, les antécédents en tant que conducteur ainsi que la nécessité professionnelle de conduire un véhicule automobile.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p. 190 et la jurisprudence citée). Lorsqu'il s'agit d'apprécier l'élément du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123 II 572 consid. 2c). Cela étant, la détermination du degré de sensibilité à la sanction ne permet pas, à elle seule, de décider si et dans quelle mesure une réduction se justifie. Une telle question doit être tranchée au regard de toutes les circonstances du cas (ATF 128 II 285 consid. 2.4; 123 II 572 consid. 2c). Ainsi, la nécessité professionnelle n’implique pas nécessairement une limitation du retrait à la durée minimale légale (arrêt TF 1C_63/2007 du 24 septembre 2007 consid. 4.4). Le Tribunal fédéral a ainsi nié dans certains cas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TF 1C_63/2007 du 24 septembre 2007 consid. 4.5; 6A.24/2005 du 24 juin 2005 consid. 3; 6A.129/1996 du 28 février 1997 consid. 2, in SJ 1997 p. 451; 6A.92/1989 du 15 août 1989 consid. 4, in SJ 1990 p. 55). 5.2. En l'occurrence, l'autorité intimée a fixé à deux mois la durée du retrait, s'écartant ainsi d'un mois de la durée minimale légale, telle que fixée par l'art. 16b al. 2 let. a LCR. Son appréciation échappe à la critique. D'une part en effet, au vu du cumul des infractions commises et de la mise en danger concrète de la circulation qui en a résulté, l'infraction commise se situe à la limite de la faute grave. Par ailleurs, en tant que contremaître, le recourant ne peut valablement se prévaloir d'un besoin professionnel de conduire, au sens strict où l'entendent la jurisprudence et la doctrine; au demeurant, il n'a nullement établi que le retrait du permis entraînerait pour lui des conséquences professionnelles ou financières démesurées. Durant la période de retrait, il devra s'organiser pour n'avoir pas à conduire personnellement de véhicules automobiles. Quoi qu'il en soit, en</w:t>
      </w:r>
    </w:p>
    <w:p>
      <w:r>
        <w:t>Tribunal cantonal TC Page 9 de 10 commettant les infractions qui lui sont reprochées, le recourant a pris le risque non seulement de mettre en danger la circulation routière, mais également de se voir retirer le permis. Il ne peut dès lors s'en prendre qu'à lui-même s'il doit maintenant en subir les conséquences. Finalement, force est de constater que les antécédents du recourant ne sont pas sans tache, de loin s'en faut, puisqu'il a déjà fait l'objet d'un avertissement en 2008, d'un retrait du permis pour la durée d'un mois en 2009 et d'un retrait du permis pour la durée de deux mois en 2011. Si ces antécédents n'ont pas d'incidence dans le système des cascades, ils constituent néanmoins des précédents dont il y a lieu de tenir compte dans la fixation de la durée d'un retrait (cf. arrêt TC FR 603 2018 73 du 24 août 2018). 5.3. Au vu des considérants qui précèdent, la Cour constate qu'en fixant à deux mois la durée du retrait du permis de conduire du recourant, l'autorité intimée a pris en compte dans une juste mesure l'ensemble des circonstances du cas. Elle a également fait application de l'art. 17 al. 1 LCR, en prévoyant la possibilité d'une restitution anticipée du permis - après un mois de retrait - en cas de suivi avec succès d'un cours d'éducation routière reconnu. Or, après le prononcé de quatre mesures administratives, le suivi d'un cours d'éducation routière semble se justifier pleinement. La Cour est bien consciente des inconvénients que l'intéressé aura à subir en raison du retrait de son permis de conduire. Ceux-ci sont cependant inévitablement liés à la mesure admonitoire et ils participent à la fonction éducative de celle-ci. 6. 6.1. Pour l'ensemble des motifs qui précèdent, il faut constater qu’en fixant à deux mois la durée du retrait de permis et du permis de conduire tout en lui offrant la possibilité d'une restitution anticipée en cas de suivi d'un cours d'éducation routière, la CMA n’a pas violé la loi, ni commis un quelconque excès ou abus de son pouvoir d’appréciation. Sa décision doit dès lors être confirmée et le recours rejeté. 6.2. Vu l'issue du recours, les frais de procédure doivent être mis à la charge de celui-ci (cf. art. 131 CPJA). Pour les mêmes motifs, il n'est pas alloué d'indemnité de partie (art. 137 CPJA). (dispositif en page suivante)</w:t>
      </w:r>
    </w:p>
    <w:p>
      <w:r>
        <w:t>Tribunal cantonal TC Page 10 de 10 la Cour arrête : I. Le recours est rejeté. Partant, la décision du 18 juillet 2019 est confirmée. II. Les frais de procédure, par CHF 600.-, sont mis à la charge du recourant. Ils sont compensés par l'avance de frais versée. III. Il n'est pas allouée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avril 2020/mju/svu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