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79 vom 28. August 2018</w:t>
      </w:r>
    </w:p>
    <w:p>
      <w:r>
        <w:t>FR Kantonsgericht, 2018-08-28, FR</w:t>
      </w:r>
    </w:p>
    <w:p>
      <w:r>
        <w:rPr>
          <w:b/>
        </w:rPr>
        <w:t xml:space="preserve">Quelle: </w:t>
      </w:r>
      <w:r>
        <w:t>https://mcp.opencaselaw.ch/entscheid/fr_gerichte_603_2018_79</w:t>
      </w:r>
    </w:p>
    <w:p>
      <w:r>
        <w:t>FR: FR_GERICHTE 603 2018 79 du 28 août 2018</w:t>
      </w:r>
    </w:p>
    <w:p>
      <w:r>
        <w:t>IT: FR_GERICHTE 603 2018 79 del 28 agosto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par ailleurs été versée en temps utile - le recours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w:t>
      </w:r>
    </w:p>
    <w:p>
      <w:r>
        <w:t>Tribunal cantonal TC Page 4 de 8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w:t>
      </w:r>
    </w:p>
    <w:p>
      <w:r>
        <w:rPr>
          <w:b/>
        </w:rPr>
        <w:t>E. 2.2</w:t>
      </w:r>
    </w:p>
    <w:p>
      <w:r>
        <w:t>En l'occurrence, l'autorité pénale compétente a retenu qu'"un manque de prudence particulière, imputable à A.________, est la cause du décès de F.________". Elle a estimé, en renvoyant à l'art. 3 al. 1 de l'ordonnance du 13 novembre 1962 sur les règles de la circulation routière (OCR; RS 741.11), que le conducteur n'avait pas voué son attention à la route et à la circulation. Elle a également affirmé, implicitement mais sans équivoque, qu'il n'était pas établi que le piéton était apparu dans le champ de vision du conducteur à un moment où celui-ci n'était plus en mesure de réagir. Elle a relevé ce qui suit: "Connaissant bien la route (…), A.________ savait qu'il s'approchait d'un endroit où la route était bordée de chaque côté d'un arrêt de bus. Sur le côté gauche se trouvait une voiture, soit celle de F.________. La présence, à cet endroit, d'un piéton sur la chaussée n'apparaît donc pas exceptionnelle. D'ailleurs, pour A.________ qui circulait de jour sur un tronçon plat et rectiligne, tout piéton était parfaitement visible. Dans le cadre de la procédure, il a reconnu avoir remarqué avant l'accident la présence d'un piéton qui tenait un chien en laisse sur le bord droit de la chaussée. Les circonstances exigeaient une prudence particulière de la part du conducteur de la voiture, d'autant plus que, selon H.________, F.________ avait fait des mouvements avec son chien sur la chaussée, vers la gauche puis vers la droite". L'intéressé a été correctement avisé de l'ouverture de la procédure administrative par la CMA et du fait qu'une mesure administrative – comme un retrait – pourrait être prononcée à son encontre. L'autorité intimée a en outre expressément attiré son attention, dans son courrier du 17 mai 2017, sur son obligation de défendre tous ses droits et d'invoquer tous ses arguments sur le plan pénal et, cas échéant, de former opposition à un jugement qu'il n'accepterait pas; en effet, il a été rendu attentif au fait que, par la suite, il ne pourrait plus contester les faits qui lui sont reprochés. Dans ces conditions, s'il entendait contester les faits retenus à son endroit, il appartenait au recourant de contester l'ordonnance pénale du 19 janvier 2018. Ne l'ayant pas fait, celle-ci est désormais entrée en force de chose jugée, et il faut dès lors considérer comme établis les faits reprochés, sur lesquels l'autorité intimée a d'ailleurs fondé sa décision en retenant l'homicide par négligence en raison d'un manque de prudence particulière au volant d'une voiture.</w:t>
      </w:r>
    </w:p>
    <w:p>
      <w:r>
        <w:rPr>
          <w:b/>
        </w:rPr>
        <w:t>E. 3.1</w:t>
      </w:r>
    </w:p>
    <w:p>
      <w:r>
        <w:t>A teneur de l'art. 31 al. 1 LCR, le conducteur devra rester constamment maître de son véhicule de façon à pouvoir se conformer aux devoirs de la prudence. L'art. 3 al. 1 OCR précise que le conducteur vouera son attention à la route et à la circulation.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Code suisse de la circulation routière commentée, 4ème éd. 2015, art. 31 LCR n. 2 ss).</w:t>
      </w:r>
    </w:p>
    <w:p>
      <w:r>
        <w:t>Tribunal cantonal TC Page 5 de 8 Au vu de l'état de fait retenu par le Juge pénal, la violation des dispositions légales précitées est sans aucun doute établie. Une mesure administrative devait dès lors être prononcée.</w:t>
      </w:r>
    </w:p>
    <w:p>
      <w:r>
        <w:rPr>
          <w:b/>
        </w:rPr>
        <w:t>E. 3.2</w:t>
      </w:r>
    </w:p>
    <w:p>
      <w:r>
        <w:t>C'est le lieu de préciser que le recourant ne peut tirer aucun argument du fait que le Juge pénal ne l'a pas condamné pour la violation de ces règles. En effet, ces violations auraient été jugées à l'aune de l'art. 90 LCR, si cette disposition légale n'entrait pas en concours imparfait avec l'art. 117 CP, à savoir l'homicide par négligence. Le jugement pénal ne signifie ainsi pas que ces dispositions de la LCR et de l'OCR n'ont pas été enfreintes. Il ressort au contraire clairement de l'ordonnance pénale que l'homicide par négligence a été commis au volant d'une voiture en raison de l'inattention du recourant envers la circulation et les usagers de la route.</w:t>
      </w:r>
    </w:p>
    <w:p>
      <w:r>
        <w:rPr>
          <w:b/>
        </w:rPr>
        <w:t>E. 4.1</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w:t>
      </w:r>
    </w:p>
    <w:p>
      <w:r>
        <w:t>Tribunal cantonal TC Page 6 de 8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L'infraction sanctionnée par l'art. 16c al. 1 let. a LCR par contre correspond en principe à la définition de l'infraction réprimée sur le plan pénal par l'ancien art. 90 ch. 2 LCR, désormais l'art. 90 al. 2 LCR (MIZEL, Les nouvelles dispositions légales sur le retrait du permis de conduire, in RDAF 2004, p. 395). Le Tribunal fédéral tient ces notions pour identiques à tous les égards (ATF 120 Ib 285); il estime que, pour être punissable sous l'angle de cette disposition,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4.2</w:t>
      </w:r>
    </w:p>
    <w:p>
      <w:r>
        <w:t>Il ressort du dossier que le recourant était conscient de la présence d'un piéton accompagné d'un chien dans le trafic. La route était certes rectiligne, mais enneigée en partie et sur ses bords. A cet endroit, la route était bordée de chaque côté par un arrêt de bus. Sur le côté gauche, une voiture était arrêtée. De plus, le Juge pénal a retenu que le piéton avait fait des mouvements avec son chien sur la chaussée, vers la gauche puis vers droite. Il a explicitement relevé que les circonstances exigeaient une prudence particulière. On doit rappeler au recourant que le fait que la vitesse maximale était de 80 km/h sur ce tronçon n'est pas déterminant pour juger si la faute est grave. En effet, la vitesse doit toujours être adaptée aux circonstances et, même si elle n'était en l'occurrence que d'environ 50 km/h, elle était, au vu des circonstances, manifestement encore trop élevée. A cela s'ajoute le fait que la présence d'un piéton et d'un chien qui bougeaient de droite à gauche aurait dû inciter le recourant à diminuer encore davantage sa vitesse à cet endroit, où il n'y a pas de trottoir et où la route était enneigée sur ses bords. Aussi, le recourant devait, avant de croiser, s'assurer de pouvoir réagir à un mouvement brusque du chien et du piéton. Il ne pouvait se contenter de ralentir sa vitesse à 50 km/h. Tous ces éléments ne pouvaient que l'inciter à se comporter encore plus prudemment. Dans ces circonstances, c'est à juste titre que le Ministère public a explicitement qualifié le manque de prudence de "particulière". Le Tribunal de céans ne voit pas de raison de se distancier de cette qualification. Dans ces conditions, contrairement à ce que soutient le recourant, c'est à juste titre que la CMA a considéré qu'il avait fait preuve d'une inattention fautive particulière en s'approchant du piéton. En</w:t>
      </w:r>
    </w:p>
    <w:p>
      <w:r>
        <w:t>Tribunal cantonal TC Page 7 de 8 effet, une simple absence passagère suffit, dans les circonstances de l'espèce qui exigeaient une attention particulière, pour retenir une violation du devoir de prudence élémentaire. A toutes fins utiles, il convient de préciser que les principes du droit pénal relatifs à la faute concomitante (ATF 122 IV 17 consid. 2c-bb) sont applicables en matière administrative et excluent la compensation des fautes (arrêt TC FR 603 2011 100 du 21 décembre 2011). Contrairement au système du droit civil, où le juge, lorsqu'il alloue une indemnité à titre de réparation du fait de la responsabilité civile du détenteur automobile, doit tenir compte de la neutralisation des fautes entre détenteur responsable et lésé et mettre en balance les fautes des différentes parties (ATF 132 III 249 consid. 3; BREHM, La responsabilité civile automobile, 2ème éd., 2010, nn 578 ss, 582 et les réf.), il est exclu d'appliquer ce même principe en droit public de la circulation routière, alors qu'il s'agit de statuer sur une mesure d'admonestation. En effet, l'autorité administrative doit sanctionner tout comportement contraire à la loi lorsqu'il met en danger la sécurité de la route (SCHAFFHAUSER, Grundriss des schweizerischen Strassenverkehrsrechts, Band III, 1995, no 2254 ss, p. 164). Aussi, il importe peu de savoir si le piéton, victime de l'accident ici en cause, a commis une faute. Le comportement fautif du recourant se devait dans tous les cas d'être sanctionné. Par son imprudence, le recourant a provoqué la collision avec le piéton qui a été grièvement blessé et qui est décédé le lendemain. La mise en danger de la sécurité du piéton induite par la faute du recourant doit donc être qualifiée d'accrue. Il est au demeurant manifeste que le fait de heurter un piéton avec un véhicule automobile peut avoir des conséquences graves pour la santé du piéton, preuve en est malheureusement le présent cas. Dans ces circonstances, l'admission d'une infraction moyenne au sens de l'art. 16b al. 1 LCR – qui permettrait en l'espèce de réduire la durée de retrait du permis de conduire à un mois au minimum en lieu et place de trois mois – n'apparaît pas possible. Bien au contraire, l'on est ici bien plus en présence d'une faute manifestement grave.</w:t>
      </w:r>
    </w:p>
    <w:p>
      <w:r>
        <w:rPr>
          <w:b/>
        </w:rPr>
        <w:t>E. 5.1</w:t>
      </w:r>
    </w:p>
    <w:p>
      <w:r>
        <w:t>A teneur de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w:t>
      </w:r>
    </w:p>
    <w:p>
      <w:r>
        <w:rPr>
          <w:b/>
        </w:rPr>
        <w:t>E. 5.2</w:t>
      </w:r>
    </w:p>
    <w:p>
      <w:r>
        <w:t>En l'occurrence, l'autorité intimée a fixé à trois mois la durée du retrait, s'en tenant ainsi à la durée minimale légale prévue par l'art. 16c al. 2 let. a LCR. Autrement dit, d'éventuels besoins personnels et professionnels de disposer du permis, tout comme d'autres motifs – évènement</w:t>
      </w:r>
    </w:p>
    <w:p>
      <w:r>
        <w:t>Tribunal cantonal TC Page 8 de 8 isolé, bonne réputation –, ne peuvent conduire à une réduction de la durée du retrait limitée au minimum légal.</w:t>
      </w:r>
    </w:p>
    <w:p>
      <w:r>
        <w:rPr>
          <w:b/>
        </w:rPr>
        <w:t>E. 6.1</w:t>
      </w:r>
    </w:p>
    <w:p>
      <w:r>
        <w:t>Pour l'ensemble des motifs qui précèdent, il faut constater que la CMA n'a pas violé la loi, ni commis un abus ou un excès de son pouvoir d'appréciation en prononçant à l'endroit du recourant un retrait du permis de conduire pour la durée de trois mois. Sa décision doit dès lors être confirmée et le recours rejeté.</w:t>
      </w:r>
    </w:p>
    <w:p>
      <w:r>
        <w:rPr>
          <w:b/>
        </w:rPr>
        <w:t>E. 6.2</w:t>
      </w:r>
    </w:p>
    <w:p>
      <w:r>
        <w:t>Vu l'issue du recours, les frais de procédure doivent être mis à la charge du recourant qui succombe (art. 131 CPJA). Pour le même motif, il n'est pas alloué d'indemnité de partie. la Cour arrête: I. Le recours est rejeté.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août 2018/jfr/vth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