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69 vom 27. Juli 2018</w:t>
      </w:r>
    </w:p>
    <w:p>
      <w:r>
        <w:t>FR Kantonsgericht, 2018-07-27, FR</w:t>
      </w:r>
    </w:p>
    <w:p>
      <w:r>
        <w:rPr>
          <w:b/>
        </w:rPr>
        <w:t xml:space="preserve">Quelle: </w:t>
      </w:r>
      <w:r>
        <w:t>https://mcp.opencaselaw.ch/entscheid/fr_gerichte_603_2018_69</w:t>
      </w:r>
    </w:p>
    <w:p>
      <w:r>
        <w:t>FR: FR_GERICHTE 603 2018 69 du 27 juillet 2018</w:t>
      </w:r>
    </w:p>
    <w:p>
      <w:r>
        <w:t>IT: FR_GERICHTE 603 2018 69 del 27 luglio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par ailleurs été versée en temps utile - le recours est recevable à la forme. La Cour de céans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 expresse, le Tribunal cantonal ne peut pas examiner en l'espèce le grief d'inopportunité (art. 78 al. 2 CPJA).</w:t>
      </w:r>
    </w:p>
    <w:p>
      <w:r>
        <w:rPr>
          <w:b/>
        </w:rPr>
        <w:t>E. 2.1</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c/bb;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w:t>
      </w:r>
    </w:p>
    <w:p>
      <w:r>
        <w:t>Tribunal cantonal TC Page 4 de 6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w:t>
      </w:r>
    </w:p>
    <w:p>
      <w:r>
        <w:rPr>
          <w:b/>
        </w:rPr>
        <w:t>E. 2.2</w:t>
      </w:r>
    </w:p>
    <w:p>
      <w:r>
        <w:t>En l'occurrence, l'autorité pénale compétente a retenu que le recourant avait fait preuve d'inattention, qu'il avait circulé insuffisamment à droite et avait perdu la maîtrise de son véhicule, contrevenant ainsi aux dispositions des art. 31 al. 1 et 34 LCR. Par ailleurs, celui-là a été reconnu coupable de fuite après accident en application de l'art. 92 al. 2 LCR, qui prescrit qu'est puni d'une peine privative de liberté de trois ans au plus ou d'une peine pécuniaire, le conducteur qui prend la fuite après avoir tué ou blessé une personne lors d'un accident de la circulation. L'intéressé a été correctement avisé de l'ouverture de la procédure administrative par la CMA et du fait qu'une mesure administrative – comme un retrait – pourrait être prononcée à son encontre. L'autorité intimée a en outre expressément attiré son attention, dans son courrier du 14 septembre 2017, sur son obligation de défendre tous ses droits et d'invoquer tous ses arguments sur le plan pénal et, cas échéant, de former opposition à un jugement qu'il n'accepterait pas; en effet, il a été rendu attentif au fait que, par la suite, il ne pourrait plus contester les faits qui lui sont reprochés. Dans ces conditions, s'il entendait contester les faits retenus à son endroit, il appartenait au recourant de contester l'ordonnance pénale du 9 octobre 2017. Ne l'ayant pas fait, celle-ci est désormais entrée en force de chose jugée, et il faut dès lors considérer comme établies les violations reprochées, sur lesquelles l'autorité intimée a d'ailleurs fondé sa décision. Au vu des griefs soulevés dans le recours, on précisera encore que le libellé des courriers qui ont été adressés au recourant par la CMA est on ne peut plus clair. C'est en vain que celui-ci relève dans son recours avoir reçu d'autres informations selon lesquelles il devait contester les faits en procédure administrative. Aucune preuve sur cet aspect n'est produite au dossier, de sorte qu'il ne peut pas se prévaloir de sa bonne foi. Cela étant, même si, par hypothèse, de telles informations lui avaient été données, il lui incombait de se renseigner eu égard à leur contenu diamétralement opposé de la lettre du 14 septembre 2017.</w:t>
      </w:r>
    </w:p>
    <w:p>
      <w:r>
        <w:rPr>
          <w:b/>
        </w:rPr>
        <w:t>E. 3.1</w:t>
      </w:r>
    </w:p>
    <w:p>
      <w:r>
        <w:t>A teneur de l'art. 16c al. 1 let. e LCR, commet une infraction grave la personne qui prend la fuite après avoir blessé ou tué une personne. Ainsi, sous l'aspect des mesures administratives, la fuite après un accident au cours duquel une personne a été blessée est constitutive d'une faute grave. On notera dans ce contexte que l'art. 16c al. 1 let. e LCR ne prévoit pas d'exception quant à la qualification de faute grave, notamment pas au regard de la mise en danger ou de la nature des infractions ayant précédé la réalisation du délit de fuite.</w:t>
      </w:r>
    </w:p>
    <w:p>
      <w:r>
        <w:rPr>
          <w:b/>
        </w:rPr>
        <w:t>E. 3.2</w:t>
      </w:r>
    </w:p>
    <w:p>
      <w:r>
        <w:t>Dans ces conditions et compte tenu de la condamnation pénale, c'est à juste titre que l'autorité intimée a qualifié la faute commise de grave. Au vu du texte légal sans équivoque, la CMA se devait d'appliquer l'art. 16c al. 1 let. e LCR et, partant, de prononcer une mesure administrative.</w:t>
      </w:r>
    </w:p>
    <w:p>
      <w:r>
        <w:t>Tribunal cantonal TC Page 5 de 6</w:t>
      </w:r>
    </w:p>
    <w:p>
      <w:r>
        <w:rPr>
          <w:b/>
        </w:rPr>
        <w:t>E. 4.1</w:t>
      </w:r>
    </w:p>
    <w:p>
      <w:r>
        <w:t>A teneur de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p. 190 et la jurisprudence citée).</w:t>
      </w:r>
    </w:p>
    <w:p>
      <w:r>
        <w:rPr>
          <w:b/>
        </w:rPr>
        <w:t>E. 4.2</w:t>
      </w:r>
    </w:p>
    <w:p>
      <w:r>
        <w:t>En l'occurrence, l'autorité intimée a fixé à quatre mois la durée du retrait, s'écartant ainsi de la durée minimale légale de trois mois prévue par l'art. 16c al. 2 let. a LCR. Le recourant s'est rendu coupable de violation non seulement de l'art. 92 al. 2 LCR, mais également des art. 31 et 34 LCR. A teneur de l'art. 31 al. 1 LCR, le conducteur devra rester constamment maître de son véhicule de façon à pouvoir se conformer aux devoirs de la prudence. L'art. 3 al. 1 de l'ordonnance du 13 novembre 1962 sur la circulation routière (OCR; RS 741.11) précise que le conducteur vouera son attention à la route et à la circulation.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(BUSSY/RUSCONI, Code suisse de la circulation routière commentée, 4ème éd. 2015, art. 31 LCR n. 2 ss). Selon l'art. 34 al. 4 LCR, le conducteur observera une distance suffisante envers tous les usagers de la route, notamment pour croiser, dépasser et circuler de front ou lorsque des véhicules se suivent. En l'occurrence, le recourant a commis un cumul d'infractions aux règles de la circulation. Dans de telles circonstances et eu égard à la nature des infractions commises et vu l'avertissement sévère prononcé en 2016, il se justifiait de s'écarter du minimum légal de la durée du retrait.</w:t>
      </w:r>
    </w:p>
    <w:p>
      <w:r>
        <w:t>Tribunal cantonal TC Page 6 de 6</w:t>
      </w:r>
    </w:p>
    <w:p>
      <w:r>
        <w:rPr>
          <w:b/>
        </w:rPr>
        <w:t>E. 5.1</w:t>
      </w:r>
    </w:p>
    <w:p>
      <w:r>
        <w:t>Pour l'ensemble des motifs qui précèdent, il faut constater que la CMA n'a pas violé la loi, ni commis un abus ou un excès de son pouvoir d'appréciation en prononçant à l'endroit du recourant un retrait du permis de conduire pour la durée de quatre mois. Sa décision doit dès lors être confirmée et le recours rejeté.</w:t>
      </w:r>
    </w:p>
    <w:p>
      <w:r>
        <w:rPr>
          <w:b/>
        </w:rPr>
        <w:t>E. 5.2</w:t>
      </w:r>
    </w:p>
    <w:p>
      <w:r>
        <w:t>Vu l'issue du recours, les frais de procédure doivent être mis à la charge du recourant qui succombe (art. 131 CPJA). la Cour arrête: I. Le recours est rejeté. II. Les frais de procédure, par CHF 600.-, sont mis à la charge du recourant et prélevés sur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juillet 2018/jfr/vth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