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FR_GERICHTE 603 2018 44 vom 9. Oktober 2018</w:t>
      </w:r>
    </w:p>
    <w:p>
      <w:r>
        <w:t>FR Kantonsgericht, 2018-10-09, FR</w:t>
      </w:r>
    </w:p>
    <w:p>
      <w:r>
        <w:rPr>
          <w:b/>
        </w:rPr>
        <w:t xml:space="preserve">Quelle: </w:t>
      </w:r>
      <w:r>
        <w:t>https://mcp.opencaselaw.ch/entscheid/fr_gerichte_603_2018_44</w:t>
      </w:r>
    </w:p>
    <w:p>
      <w:r>
        <w:t>FR: FR_GERICHTE 603 2018 44 du 9 octobre 2018</w:t>
      </w:r>
    </w:p>
    <w:p>
      <w:r>
        <w:t>IT: FR_GERICHTE 603 2018 44 del 9 ottobre 2018</w:t>
      </w:r>
    </w:p>
    <w:p>
      <w:pPr>
        <w:pStyle w:val="Heading2"/>
      </w:pPr>
      <w:r>
        <w:t>Regeste</w:t>
      </w:r>
    </w:p>
    <w:p>
      <w:r>
        <w:t>Arrêt de la IIIe Cour administrative du Tribunal cantonal | Strassenverkehr und Transportwesen</w:t>
      </w:r>
    </w:p>
    <w:p>
      <w:pPr>
        <w:pStyle w:val="Heading2"/>
      </w:pPr>
      <w:r>
        <w:t>Erwägungen</w:t>
      </w:r>
    </w:p>
    <w:p>
      <w:r>
        <w:rPr>
          <w:b/>
        </w:rPr>
        <w:t>E. 30</w:t>
      </w:r>
    </w:p>
    <w:p>
      <w:r>
        <w:t>jours dès sa notification. La fixation du montant des frais de procédure peut, dans un délai de 30 jours, faire l'objet d'une réclamation auprès de l'autorité qui a statué, lorsque seule cette partie de la décision est contestée (art. 148 CPJA). Fribourg, le 9 octobre 2018/mju/mlo La Présidente : Le Greffier-stagiaire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