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40 vom 8. Juni 2018</w:t>
      </w:r>
    </w:p>
    <w:p>
      <w:r>
        <w:t>FR Kantonsgericht, 2018-06-08, FR</w:t>
      </w:r>
    </w:p>
    <w:p>
      <w:r>
        <w:rPr>
          <w:b/>
        </w:rPr>
        <w:t xml:space="preserve">Quelle: </w:t>
      </w:r>
      <w:r>
        <w:t>https://mcp.opencaselaw.ch/entscheid/fr_gerichte_603_2018_40</w:t>
      </w:r>
    </w:p>
    <w:p>
      <w:r>
        <w:t>FR: FR_GERICHTE 603 2018 40 du 8 juin 2018</w:t>
      </w:r>
    </w:p>
    <w:p>
      <w:r>
        <w:t>IT: FR_GERICHTE 603 2018 40 del 8 giugno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Déposé dans le délai et les formes prescrits (art. 79 ss du code fribourgeois du 23 mai 1991 de procédure et de juridiction administrative, CPJA; RSF 150.1) - l'avance des frais de procédure ayant en outre été versée en temps utile - le recours est recevable à la forme.</w:t>
      </w:r>
    </w:p>
    <w:p>
      <w:r>
        <w:t>Tribunal cantonal TC Page 3 de 8 Partant, le Tribunal cantonal peut entrer en matière sur ses mérites.</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2.1</w:t>
      </w:r>
    </w:p>
    <w:p>
      <w:r>
        <w:t>Selon la doctrine (cf. PERRIN, Délivrance et retrait du permis de conduire, Fribourg 1982, p. 212 ss; KNAPP, Précis de droit administratif, 4e éd., 1991, no 38), l'autorité administrative jouit vis-à-vis du juge pénal d'une totale indépendance. Toutefois, compte tenu du principe de l'unité et de la sécurité du droit, elle ne peut pas s'écarter sans motifs impérieux des constatations de fait contenues dans le jugement pénal si celles-ci sont le fruit d'une enquête approfondie avec rapport de police et auditions de témoins et s'il n'y a pas de raison de penser qu'elles sont inexactes ou incomplètes, si aucun moyen de preuve nouveau et pertinent n'est produit ou si aucun fait nouveau, que le juge pénal ignorait ou a omis de prendre en compte au moment où il a pris sa décision, n'est établi ou allégué.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 des constatations de fait inconnues du juge pénal, s'il existe des preuves nouvelles dont l'appréciation conduit à un autre résultat ou si l'appréciation à laquelle s'est livré le juge pénal n'a pas élucidé toutes les questions de droit, en particulier celles qui touchent à la violation des règles de la circulation (ATF 119 Ib 158 / JdT 1994 I 676). En raison du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arrêts TC FR 603 2016 24+37 du 15 avril 2016 consid. 2a et 603 2016 74 du 2 août 2016 consid. 2).</w:t>
      </w:r>
    </w:p>
    <w:p>
      <w:r>
        <w:rPr>
          <w:b/>
        </w:rPr>
        <w:t>E. 2.2</w:t>
      </w:r>
    </w:p>
    <w:p>
      <w:r>
        <w:t>En l'espèce, la CMA a suspendu la procédure administrative jusqu'à droit connu sur le plan pénal et avisé expressément le recourant, le 18 décembre 2017, de son obligation de défendre tous ses droits et d'invoquer tous ses arguments sur le plan pénal, cas échéant de former opposition à un jugement qu'il n'accepterait pas, en précisant que, par la suite, il n'appartiendrait plus à la CMA de se prononcer sur les contestations de fait. Or, sur le plan pénal, le recourant a été reconnu coupable de violation simple des règles de la circulation routière et condamné en application de l'art. 90 al. 1 LCR en relation avec les art. 27 al. 1 et 35 al. 2 LCR.</w:t>
      </w:r>
    </w:p>
    <w:p>
      <w:r>
        <w:t>Tribunal cantonal TC Page 4 de 8 Rien ne justifie de se distancier des faits retenus sur le plan pénal et c'est à juste titre que le recourant ne les remet pas en cause. Il faut dès lors considérer comme établi que, le 27 novembre 2017, à 6h45, celui-ci a circulé à B.________ sur la route C.________, de E.________ en direction de B.________; qu'une patrouille de police en véhicule banalisé a constaté que le recourant avait effectué un dépassement téméraire par la gauche d'environ cinq-six véhicules à l'arrêt, dont le véhicule de la gendarmerie; que de plus, lors de cette manœuvre, celui-ci a également franchi un feu rouge placé avant la zone de travaux situé en amont de la position du véhicule de la gendarmerie, pour ensuite bifurquer à droite dans la zone industrielle sans toutefois traverser la zone de chantier; que le feu rouge était enclenché depuis un certain temps étant donné que les gendarmes pouvaient apercevoir les véhicules circulant en sens inverse arriver au loin; et qu'aucun usager de la route n'a été mis en danger durant cette manœuvre.</w:t>
      </w:r>
    </w:p>
    <w:p>
      <w:r>
        <w:rPr>
          <w:b/>
        </w:rPr>
        <w:t>E. 3.1</w:t>
      </w:r>
    </w:p>
    <w:p>
      <w:r>
        <w:t>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(art. 35 al. 2 LCR). En vertu de l'art. 27 al. 1 LCR, chacun se conformera aux signaux et aux marques ainsi qu'aux ordres de la police.</w:t>
      </w:r>
    </w:p>
    <w:p>
      <w:r>
        <w:rPr>
          <w:b/>
        </w:rPr>
        <w:t>E. 3.2</w:t>
      </w:r>
    </w:p>
    <w:p>
      <w:r>
        <w:t>En l'espèce, le recourant a manifestement enfreint les règles précitées et ce comportement devait entraîner le prononcé d'une mesure administrative.</w:t>
      </w:r>
    </w:p>
    <w:p>
      <w:r>
        <w:rPr>
          <w:b/>
        </w:rPr>
        <w:t>E. 4.1</w:t>
      </w:r>
    </w:p>
    <w:p>
      <w:r>
        <w:t>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w:t>
      </w:r>
    </w:p>
    <w:p>
      <w:r>
        <w:t>Tribunal cantonal TC Page 5 de 8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w:t>
      </w:r>
    </w:p>
    <w:p>
      <w:r>
        <w:rPr>
          <w:b/>
        </w:rPr>
        <w:t>E. 4.2</w:t>
      </w:r>
    </w:p>
    <w:p>
      <w:r>
        <w:t>Pour déterminer si le cas est de peu de gravité ou de gravité moyenne, l'autorité doit tenir compte de la gravité de la faute commise et de la réputation du contrevenant en tant que</w:t>
      </w:r>
    </w:p>
    <w:p>
      <w:r>
        <w:t>Tribunal cantonal TC Page 6 de 8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consid. 2b).</w:t>
      </w:r>
    </w:p>
    <w:p>
      <w:r>
        <w:rPr>
          <w:b/>
        </w:rPr>
        <w:t>E. 4.3</w:t>
      </w:r>
    </w:p>
    <w:p>
      <w:r>
        <w:t>En l'espèce, le recourant a gravement transgressé les prescriptions relatives au dépassement et au respect strict des signaux lumineux. Les règles concernant les dépassements ont pour but de minimiser les risques qui leur sont liés. Elles sont donc des dispositions importantes pour assurer la sécurité routière (arrêt TF 6S.128/2004 du 15 juin 2004 consid. 2; ATF 129 IV 155 consid. 3.2.1; 121 IV 235 consid. 1b-1c). De plus, il y a lieu de souligner que le respect des signaux lumineux constitue une règle cardinale de la sécurité routière dont l'inobservation entraîne un risque sérieux d'accident puisque les autres usagers de la route accordent légitimement leur confiance à cette signalisation (cf. ATF 118 IV 285 consid. 4). En l'occurrence, la manœuvre de dépassement doit être qualifiée de téméraire. En effet, elle a été effectuée en toute connaissance de cause dans une situation où elle avait comme conséquence le franchissement d'un feu rouge afin de ne pas gêner la circulation et où le conducteur n'avait pas la possibilité de se remettre dans la file des véhicules à l'arrêt avant le signal lumineux. Aucun conducteur ne devait s'attendre à un telle manœuvre de la part d'un autre usager de la route. Dans ces circonstances, c'est en vain que le recourant tente de se disculper en invoquant que la route était libre, que la visibilité était bonne et qu'il n'a causé aucun danger concret. Le recourant a agi en pleine connaissance de la situation et il a sciemment enfreint des règles fondamentales de la circulation routière. Aussi, comme telle, la faute commise ne saurait à l'évidence être qualifiée de légère, au sens de bénigne du terme. Elle se trouve bien plutôt à la limite de la faute grave. De surcroît, si elle n'a pas été à l'origine d'une mise en danger concrète de la circulation, elle a à tout le moins entraîné une mise en danger abstraite. Dès lors que ni la faute ni la mise en danger abstraite qui en est résultée ne sont bénignes, l'infraction nouvellement commise ne pouvait pas être qualifiée de légère. Quant à la nécessité professionnelle de disposer du permis de conduire, elle n'entre pas en considération lorsqu'il s'agit de qualifier l'infraction. Partant, force est de constater que la CMA n'a pas excédé ou abusé de son pouvoir d'appréciation en qualifiant de moyennement grave, au sens de l'art. 16b al. 1 let. a LCR, l'infraction reprochée au recourant.</w:t>
      </w:r>
    </w:p>
    <w:p>
      <w:r>
        <w:rPr>
          <w:b/>
        </w:rPr>
        <w:t>E. 4.4</w:t>
      </w:r>
    </w:p>
    <w:p>
      <w:r>
        <w:t>Cette qualification n'est du reste pas contraire à celle retenue par le Juge pénal, qui a sanctionné le recourant en application de l'art. 90 al. 1 LCR. Cette disposition réprime en effet autant les infractions légères que moyennement graves (cf. arrêt TF 1C_813/2013 du 9 janvier 2014 consid. 3.4 et la référence citée). Au demeurant, pour les questions de droit, dont fait partie l'appréciation de la gravité de la faute et de la mise en danger, les autorités administratives ne sont pas liées par la qualification du Juge pénal (cf. ATF 120 Ib 312 consid. 4b).</w:t>
      </w:r>
    </w:p>
    <w:p>
      <w:r>
        <w:t>Tribunal cantonal TC Page 7 de 8</w:t>
      </w:r>
    </w:p>
    <w:p>
      <w:r>
        <w:rPr>
          <w:b/>
        </w:rPr>
        <w:t>E. 5.1</w:t>
      </w:r>
    </w:p>
    <w:p>
      <w:r>
        <w:t>Selon l'art. 16b al. 2 let. a LCR, après une infraction moyennement grave, le permis d'élève conducteur ou le permis de conduire est retiré pour la durée d'un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p. 190 et la jurisprudence citée).</w:t>
      </w:r>
    </w:p>
    <w:p>
      <w:r>
        <w:rPr>
          <w:b/>
        </w:rPr>
        <w:t>E. 5.2</w:t>
      </w:r>
    </w:p>
    <w:p>
      <w:r>
        <w:t>En l'occurrence, l'autorité intimée a fixé à deux mois la durée du retrait, s'écartant ainsi de la durée minimale légale d'un mois prévue par l'art. 16b al. 2 let. a LCR. Le recourant s'est rendu coupable de violation des art. 27 al. 1 et 35 al. 2 LCR, et a ainsi commis un cumul d'infractions aux règles de la circulation. Ce fait ainsi que la nature des infractions commises et le comportement adopté par le recourant justifient amplement cet écart qui ne saurait être compensé par l'absence d'antécédents. Par ailleurs, le recourant ne peut valablement se prévaloir d'un besoin professionnel de conduire, au sens strict où l'entendent la jurisprudence et la doctrine. En effet, selon celles-ci,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(arrêt TF 1C_63/2007 du 24 septembre 2007 consid. 4.4). En tout état de cause, la nécessité professionnelle n'implique pas nécessairement une limitation du retrait à la durée minimale légale (arrêt TF 1C_430/2011 du 7 mars 2012 consid. 4.2). En l'occurrence, le retrait du permis n'empêchera pas le recourant d'exercer son activité professionnelle comme chef de projet dans une menuiserie. Tout au plus, ce dernier devra organiser différemment ses déplacements sur les différents chantiers. Cela étant, les inconvénients que le recourant aura à subir en raison du retrait de son permis de conduire sont inévitablement liés à la mesure admonitoire et participent à la fonction éducative de</w:t>
      </w:r>
    </w:p>
    <w:p>
      <w:r>
        <w:t>Tribunal cantonal TC Page 8 de 8 celle-ci. Au demeurant, par son comportement au volant, le recourant a pris le risque non seulement de mettre sa propre sécurité et celles des autres usagers de la voie publique en danger, mais également de se voir retirer son permis de conduire. Il ne peut dès lors s'en prendre qu'à lui- même s'il doit maintenant en subir les conséquences.</w:t>
      </w:r>
    </w:p>
    <w:p>
      <w:r>
        <w:rPr>
          <w:b/>
        </w:rPr>
        <w:t>E. 6</w:t>
      </w:r>
    </w:p>
    <w:p>
      <w:r>
        <w:t>Pour l'ensemble des motifs qui précèdent, la décision de la CMA, conforme aux principes de la légalité et de la proportionnalité, échappe à la critique et doit être confirmée. Partant, le recours doit être rejeté.</w:t>
      </w:r>
    </w:p>
    <w:p>
      <w:r>
        <w:rPr>
          <w:b/>
        </w:rPr>
        <w:t>E. 7</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Partant, la décision de la Commission des mesures administratives en matière de circulation routière du 1er mars 2018 est confirmée.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juin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