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179 vom 9. Januar 2019</w:t>
      </w:r>
    </w:p>
    <w:p>
      <w:r>
        <w:t>FR Kantonsgericht, 2019-01-09, FR</w:t>
      </w:r>
    </w:p>
    <w:p>
      <w:r>
        <w:rPr>
          <w:b/>
        </w:rPr>
        <w:t xml:space="preserve">Quelle: </w:t>
      </w:r>
      <w:r>
        <w:t>https://mcp.opencaselaw.ch/entscheid/fr_gerichte_603_2018_179</w:t>
      </w:r>
    </w:p>
    <w:p>
      <w:r>
        <w:t>FR: FR_GERICHTE 603 2018 179 du 9 janvier 2019</w:t>
      </w:r>
    </w:p>
    <w:p>
      <w:r>
        <w:t>IT: FR_GERICHTE 603 2018 179 del 9 gennaio 2019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9 janvier 2019/jfr/vth La Présidente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