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142 vom 3. Dezember 2018</w:t>
      </w:r>
    </w:p>
    <w:p>
      <w:r>
        <w:t>FR Kantonsgericht, 2018-12-03, FR</w:t>
      </w:r>
    </w:p>
    <w:p>
      <w:r>
        <w:rPr>
          <w:b/>
        </w:rPr>
        <w:t xml:space="preserve">Quelle: </w:t>
      </w:r>
      <w:r>
        <w:t>https://mcp.opencaselaw.ch/entscheid/fr_gerichte_603_2018_142</w:t>
      </w:r>
    </w:p>
    <w:p>
      <w:r>
        <w:t>FR: FR_GERICHTE 603 2018 142 du 3 décembre 2018</w:t>
      </w:r>
    </w:p>
    <w:p>
      <w:r>
        <w:t>IT: FR_GERICHTE 603 2018 142 del 3 dicembre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TC FR 3A 2006 84 du 2 novembre 2006 consid. 4d; arrêt TA FR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w:t>
      </w:r>
    </w:p>
    <w:p>
      <w:r>
        <w:t>Tribunal cantonal TC Page 4 de 10 s'est pas opposé et qui est entré en force. En effet, lorsque l'intéressé sait ou doit escompter qu'une procédure de retrait de permis sera engagée contre lui, il doit faire valoir ses moyens de défense lors de la procédure pénale déjà (ATF 121 II 214).</w:t>
      </w:r>
    </w:p>
    <w:p>
      <w:r>
        <w:rPr>
          <w:b/>
        </w:rPr>
        <w:t>E. 2.2</w:t>
      </w:r>
    </w:p>
    <w:p>
      <w:r>
        <w:t>En l'occurrence, l'autorité pénale compétente a retenu que la recourante avait conduit en état d'incapacité et perdu la maîtrise de son véhicule suite à un assoupissement. Non contesté, ce jugement est entré en force. Pour sa part, l'autorité intimée a fondé sa décision sur le même état de fait. Quant à la recourante, elle admet qu'elle s'est assoupie au volant de son véhicule et que, de ce fait, elle en a perdu la maîtrise. Elle a notamment accepté le jugement pénal en renonçant à poursuivre la procédure pénale en invoquant qu'elle avait été victime d'un malaise. Autrement dit, les faits de la cause ne peuvent plus être contestés et doivent être considérés comme établis.</w:t>
      </w:r>
    </w:p>
    <w:p>
      <w:r>
        <w:rPr>
          <w:b/>
        </w:rPr>
        <w:t>E. 3.1</w:t>
      </w:r>
    </w:p>
    <w:p>
      <w:r>
        <w:t>En vertu de l'art. 31 LCR, le conducteur devra rester constamment maître de son véhicule de façon à pouvoir se conformer aux devoirs de la prudence (al. 1); toute personne qui n'a pas les capacités physiques et psychiques nécessaires pour conduire un véhicule parce qu'elle est sous l'influence de l'alcool, des stupéfiants, de médicaments ou pour d'autres raisons, est réputée incapable de conduire pendant cette période et doit s'en abstenir (al. 2).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(BUSSY/RUSCONI, Code suisse de la circulation routière commentée, 4e éd. 2015, art. 31 LCR n. 2 ss). L'interdiction de prendre le volant résultant de l'art. 31 al. 2 LCR s'applique tant à celui qui est momentanément fatigué ou somnolent qu'à celui qui se trouve sous l'effet passager d'un médicament ou d'une drogue (BUSSY/RUSCONI, art. 31 LCR n. 2.2.4). L'art. 2 al. 1 de l'ordonnance du 13 novembre 1962 sur les règles de la circulation routière (OCR; RS 741.11) précise qu'est tenu de s'abstenir de conduire quiconque n'en est pas capable parce qu'il est surmené, sous l'effet de l'alcool, d'un médicament, d'un stupéfiant ou pour toute autre raison.</w:t>
      </w:r>
    </w:p>
    <w:p>
      <w:r>
        <w:rPr>
          <w:b/>
        </w:rPr>
        <w:t>E. 3.2</w:t>
      </w:r>
    </w:p>
    <w:p>
      <w:r>
        <w:t>En l'espèce, au vu des faits établis, il faut constater que la recourante a violé les dispositions légales précitées. Partant, la CMA se devait de prononcer une mesure administrative.</w:t>
      </w:r>
    </w:p>
    <w:p>
      <w:r>
        <w:rPr>
          <w:b/>
        </w:rPr>
        <w:t>E. 4.1</w:t>
      </w:r>
    </w:p>
    <w:p>
      <w:r>
        <w:t>Conformément à l'art. 16a al. 1 let. a LCR,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w:t>
      </w:r>
    </w:p>
    <w:p>
      <w:r>
        <w:t>Tribunal cantonal TC Page 5 de 10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w:t>
      </w:r>
    </w:p>
    <w:p>
      <w:r>
        <w:t>Tribunal cantonal TC Page 6 de 10 L'infraction sanctionnée par l'art. 16c al. 1 let. a LCR par contre correspond en principe à la définition de l'infraction réprimée sur le plan pénal par l'art. 90 al. 2 LCR (MIZEL, p. 395). Le Tribunal fédéral tient ces notions pour identiques à tous les égards (ATF 120 Ib 285 consid. 3 / JdT 1995 I 678);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Subjectivement, l'art. 90 al. 2 LCR exige un comportement sans scrupules ou gravement contraire aux règles de la circulation, découlant à tout le moins d'une négligence grossière (ATF 118 IV 84 consid. 2a).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w:t>
      </w:r>
    </w:p>
    <w:p>
      <w:r>
        <w:rPr>
          <w:b/>
        </w:rPr>
        <w:t>E. 4.2</w:t>
      </w:r>
    </w:p>
    <w:p>
      <w:r>
        <w:t>Selon la jurisprudence, le surmenage ne consiste pas seulement en un état de fatigue chronique, tel qu'il peut se présenter après une longue période de travail intensif ou après une série de nuits de repos trop courtes; l'interdiction de prendre le volant résultant des dispositions de l'art. 31 LCR et de l'art. 2 al. 1 OCR s'applique tant à celui qui est momentanément fatigué ou somnolent qu'à celui qui se trouve sous l'effet passager d'un médicament ou d'une drogue (JdT 1982 I 409 no 16). Le fait de conduire dans un état de fatigue extrême est aussi dangereux pour la circulation que l'ivresse (JdT 1978 I 399 no 12a) et celui qui conduit dans cet état occasionne une grave mise en danger de la circulation (JdT 1988 I 651 no 14). Cela étant, en cas de surmenage, la faute grave ne peut être retenue qu'à l'égard du conducteur qui avait conscience du risque de s'endormir, qui aurait dû compter avec un assoupissement ou ressentir les signes avant-coureurs du sommeil (SJ 1992 p. 524 no 106 / JdT 1992 I 706 no 33). La jurisprudence fédérale (voir arrêt TF 6A.84/2006 et 6A.87/2006 du 27 décembre 2006 consid. 3.2 et la réf. cit.) a précisé que le fait de s'assoupir au volant constitue en règle générale une faute grave, dès lors qu'on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 des freins, passage des vitesses moins fréquents, louvoiement et perte de la sensation de vitesse).</w:t>
      </w:r>
    </w:p>
    <w:p>
      <w:r>
        <w:t>Tribunal cantonal TC Page 7 de 10 Il y a lieu de souligner que la gravité de la faute reprochée au conducteur qui s'est endormi au volant tient à ce qu'il a poursuivi sa route malgré la nécessaire apparition des signaux d'alerte physiques et psychiques annonciateurs de l'assoupissement. En principe, lorsque le conducteur s'est, en définitive, endormi malgré des précautions prises, son assoupissement n'a pu qu'être précédé des signes avant-coureurs du sommeil reconnaissables par l'intéressé. Aussi, lorsque le conducteur qui a pris de telles mesures s'endort au volant, on ne peut que constater que les mesures prises concrètement n'étaient pas suffisantes pour endiguer la fatigue, empêcher l'apparition des signes avant-coureurs de l'assoupissement et permettre la poursuite sans risque du trajet. Il s'ensuit que la faute du conducteur qui poursuit sa route dans ces conditions demeure grave même s'il avait pris des précautions (stops réguliers, boire du café, etc.). Par ailleurs, le fait que durant la phase d'assoupissement le véhicule poursuive sa trajectoire de manière non maîtrisée, au risque d'entrer en collision avec un obstacle ou un autre véhicule, constitue manifestement une mise en danger abstraite accrue de la sécurité (arrêt TC FR 603 2015 46 du 23 avril 2015).</w:t>
      </w:r>
    </w:p>
    <w:p>
      <w:r>
        <w:rPr>
          <w:b/>
        </w:rPr>
        <w:t>E. 4.3</w:t>
      </w:r>
    </w:p>
    <w:p>
      <w:r>
        <w:t>En l'espèce, les éléments au dossier ne permettent pas de retenir que l'assoupissement de la recourante n'a pas été précédé de signes annonciateurs. D'une part, celle-ci n'a pas établi qu'elle souffrait d'une maladie ou d'un malaise soudain qui auraient conduit à un brusque endormissement sans signes précurseurs; cela ne ressort du moins pas du certificat médical produit devant la CMA. Au contraire, le médecin consulté confirme l'aptitude à la conduite de la recourante. Par ailleurs, le Juge pénal n'a pas non plus retenu la survenance d'un malaise soudain, qui aurait pu expliquer l'infraction. D'autre part, il faut constater que la recourante est infirmière de profession et qu'elle travaille exclusivement le soir. Il faut dès lors en déduire qu'elle a nécessairement dû constater que son état de fatigue après sa "journée" de travail était inhabituel, qu'elle a dû ressentir des signaux d'alerte d'assoupissement et que, ce nonobstant, elle a poursuivi son trajet jusqu'à D.________ où elle s'est assoupie, ne serait-ce que quelques secondes, et a dévié la trajectoire de son véhicule, pour finir hors de la voie de circulation, dans la verdure. Le fait que, comme l'allègue la recourante, elle n'était pas sous l'influence de médicaments, de drogues ou de l'alcool est dénué de pertinence. Au vu des circonstances du cas d'espèce, rien ne justifie de s'écarter des principes exprimés par la jurisprudence précitée. On doit ainsi admettre que les conditions de l'art. 16c LCR sont réunies. La recourante a violé, par son comportement ou par une simple absence passagère, un devoir de prudence élémentaire qui lui était imposé de manière évidente par les circonstances. Le fait d'ignorer les signes avant- coureurs de l'assoupissement, lequel a provoqué la perte de maîtrise du véhicule, a manifestement créé une mise en danger abstraite accrue sérieuse pour les autres usagers de la route et consiste en une négligence grossière. Aussi, c'est à bon droit que l'autorité intimée a qualifié de grave la faute commise, au sens de l'art. 16c al. 1 let. c LCR. Le Tribunal cantonal a d'ailleurs confirmé cette appréciation dans plusieurs cas similaires (arrêt TC FR 603 2014 50 du 14 août 2014; 603 2016 36 du 15 avril 2016; 603 2015 197 du 25 octobre 2016).</w:t>
      </w:r>
    </w:p>
    <w:p>
      <w:r>
        <w:rPr>
          <w:b/>
        </w:rPr>
        <w:t>E. 4.4</w:t>
      </w:r>
    </w:p>
    <w:p>
      <w:r>
        <w:t>Il est vrai que le Juge pénal n'a retenu qu'une violation simple aux règles de la circulation routière, en faisant application de l'art. 90 al. 1 LCR. Il convient toutefois de rappeler que, pour de pures questions de droit, dont fait partie l'appréciation de la gravité d'un cas, les autorités administratives ne sont pas liées par la qualification du juge pénal (cf. consid. 2.1 ci-avant). En particulier, la jurisprudence retient que, lorsque les autorités administrative et pénale se sont toutes</w:t>
      </w:r>
    </w:p>
    <w:p>
      <w:r>
        <w:t>Tribunal cantonal TC Page 8 de 10 deux fondées uniquement sur le dossier, l'autorité administrative n'est pas liée par la qualification juridique donnée au pénal (cf. ATF 123 II 97 consid. 3c/aa; 120 Ib 312; 115 Ib 163; arrêt TA FR 3A 2004 131 du 8 octobre 2004 et les arrêts cités; arrêt TF 1C_555/2008 du 1er avril 2009).</w:t>
      </w:r>
    </w:p>
    <w:p>
      <w:r>
        <w:rPr>
          <w:b/>
        </w:rPr>
        <w:t>E. 5.1</w:t>
      </w:r>
    </w:p>
    <w:p>
      <w:r>
        <w:t>En cas d'infraction grave, l'art. 16c al. 2 let. a LCR prévoit que le permis d'élève conducteur ou le permis de conduire est retiré pour trois mois au minimum. Pour fixer la durée du retrait du permis d'élève conducteur ou du permis de conduire, l'art. 16 al. 3 LCR exige que l'ensemble des circonstances soient prises en considération, notamment l'atteinte à la sécurité routière, la gravité de la faute, les antécédents en tant que conducteur ainsi que la nécessité professionnelle de conduire un véhicule automobile. La durée minimale ne peut toutefois être réduite.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notamment à l'art. 16c al. 2 LCR, supérieure au minimum légal prescrit par cette norme.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w:t>
      </w:r>
    </w:p>
    <w:p>
      <w:r>
        <w:rPr>
          <w:b/>
        </w:rPr>
        <w:t>E. 5.2</w:t>
      </w:r>
    </w:p>
    <w:p>
      <w:r>
        <w:t>En l'espèce, la CMA a fixé la durée du retrait à trois mois et s'en est dès lors tenue au minimum légal. Partant, la nécessité professionnelle invoquée par la recourante devant la CMA ne pouvait pas conduire à une réduction de la durée minimale de retrait.</w:t>
      </w:r>
    </w:p>
    <w:p>
      <w:r>
        <w:rPr>
          <w:b/>
        </w:rPr>
        <w:t>E. 6</w:t>
      </w:r>
    </w:p>
    <w:p>
      <w:r>
        <w:t>La violation du droit d'être entendu, invoquée par la recourante, n'est pas de nature à modifier cette conclusion. Certes, le droit d'être entendu est une règle primordiale de procédure dont la violation peut entraîner l'annulation de la décision attaquée sans égard aux chances de succès du recours sur le fond (AUER/MALINVERNI/HOTTELIER, Droit constitutionnel suisse, volume II, Les droits fondamentaux, 3e éd. 2013, no 1358), si bien qu'il convient en principe de l'examiner préliminairement (cf. ATF 137 I 195 consid. 2.2). Toutefois, selon le Tribunal fédéral, une réparation de la violation du droit d'être entendu par l'autorité de recours peut se justifier, même en présence d'un vice grave, lorsque le renvoi de l'affaire à l'autorité intimée constituerait une vaine</w:t>
      </w:r>
    </w:p>
    <w:p>
      <w:r>
        <w:t>Tribunal cantonal TC Page 9 de 10 formalité et aboutirait à un allongement inutile de la procédure (ATF 133 I 201 consid. 2.2; arrêt TF 1C_265/2009 du 7 octobre 2009; arrêt TC FR 602 2017 27 du 31 mai 2017 consid. 2a). En l'occurrence, la recourante se plaint d'un défaut de motivation de la décision de la CMA, celle-ci n'ayant, d'après elle, pas exposé les motifs pour lesquels elle a qualifié l'infraction de grave. Ce grief ne résiste toutefois pas à l'examen. Le droit d'être entendu garanti par l'art. 29 al. 2 Cst. implique notamment le devoir pour l'autorité de motiver sa décision, afin que le destinataire puisse la comprendre et la contester utilement s'il y a lieu, et que la juridiction de recours puisse exercer son contrôle. Pour répondre à ces exigences, il suffit que l'autorité mentionne, au moins brièvement, les motifs qui l'ont guidé et sur lesquels elle a fondé sa décision (cf. ATF 136 I 229 consid. 5.2; 135 III 670 consid. 3.3.1). En l'espèce, dans sa décision, l'autorité intimée a mentionné les fautes retenues – soit conduite en incapacité, assoupissement et perte de maîtrise – et cité les dispositions topiques. Ces éléments sont suffisants pour juger que l'infraction commise a été qualifiée de grave. Or, la recourante ne pouvait ignorer qu'au vu de la nature des fautes commises et de la mise en danger concrète de la circulation qui en est résultée, l'infraction pouvait être qualifiée de telle sorte. Par ailleurs, la recourante – preuve en est son recours – a été parfaitement en mesure de formuler ses griefs et, partant, de saisir la portée de la décision. Le grief tiré de la violation du droit d'être entendu doit dès lors manifestement être rejeté. Au surplus, vu le bien-fondé manifeste de la décision de la CMA, une éventuelle violation du droit d'être entendu aurait pu être réparée dans le cadre de la présente procédure.</w:t>
      </w:r>
    </w:p>
    <w:p>
      <w:r>
        <w:rPr>
          <w:b/>
        </w:rPr>
        <w:t>E. 7.1</w:t>
      </w:r>
    </w:p>
    <w:p>
      <w:r>
        <w:t>Pour l'ensemble des motifs qui précèdent, il faut constater que la décision de la CMA, conforme aux principes de la légalité et de la proportionnalité, échappe à la critique et doit être confirmée. Partant, le recours doit être rejeté.</w:t>
      </w:r>
    </w:p>
    <w:p>
      <w:r>
        <w:rPr>
          <w:b/>
        </w:rPr>
        <w:t>E. 7.2</w:t>
      </w:r>
    </w:p>
    <w:p>
      <w:r>
        <w:t>Vu l'issue du recours, les frais de procédure doivent être mis à la charge de la recourante qui succombe (art. 131 CPJA). Pour cette même raison, celle-ci n'a pas droit à une indemnité de partie (art. 137 al. 1 CPJA).</w:t>
      </w:r>
    </w:p>
    <w:p>
      <w:r>
        <w:t>Tribunal cantonal TC Page 10 de 10 la Cour arrête : I. Le recours est rejeté. Partant, la décision de la CMA du 30 août 2018 est confirmée. II. Les frais de procédure, par CHF 600.-, sont mis à la charge de la recourante.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décembre 2018/jfr/vth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