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131 vom 14. Dezember 2018</w:t>
      </w:r>
    </w:p>
    <w:p>
      <w:r>
        <w:t>FR Kantonsgericht, 2018-12-14, DE</w:t>
      </w:r>
    </w:p>
    <w:p>
      <w:r>
        <w:rPr>
          <w:b/>
        </w:rPr>
        <w:t xml:space="preserve">Quelle: </w:t>
      </w:r>
      <w:r>
        <w:t>https://mcp.opencaselaw.ch/entscheid/fr_gerichte_603_2018_131</w:t>
      </w:r>
    </w:p>
    <w:p>
      <w:r>
        <w:t>FR: FR_GERICHTE 603 2018 131 du 14 décembre 2018</w:t>
      </w:r>
    </w:p>
    <w:p>
      <w:r>
        <w:t>IT: FR_GERICHTE 603 2018 131 del 14 dicembre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i.V.m. Art. 114 Abs. 1 lit. a des kantonalen Gesetzes vom 23. Mai 1991 über die Verwaltungsrechtspflege [VRG; SGF 150.1]). Der Beschwerdeführer ist zur Ergrei- fung des Rechtsmittels legitimiert (Art. 76 VRG). Die Beschwerdefrist wurde eingehalten (Art. 79 Abs. 1 VRG). Auch wurde der Kostenvorschuss rechtzeitig bezahlt (Art. 128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aber ausgeschlossen (Art. 77 und Art. 78 VRG).</w:t>
      </w:r>
    </w:p>
    <w:p>
      <w:r>
        <w:rPr>
          <w:b/>
        </w:rPr>
        <w:t>E. 2.1</w:t>
      </w:r>
    </w:p>
    <w:p>
      <w:r>
        <w:t>Nach der Rechtsprechung darf die Verwaltungsbehörde von den tatsächlichen Feststellun- 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(BGE 136 II 447 E. 3.1). Die Verwaltungsbehörde ist aber auch an einen Strafentscheid gebunden, der im Strafbe- fehlsverfahren ergangen ist, bei dem die Behörde auf einen Polizeibericht abstellt, der auf Wahr- nehmungen der Polizeibeamten an Ort und Stelle beruht und sich auf Aussagen von Beteiligten stützt, die unmittelbar nach dem Vorfall eingeholt wurden und für den Führerausweisentzug mass- 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 nommen hat (BGE 136 II 447 E. 3.1).</w:t>
      </w:r>
    </w:p>
    <w:p>
      <w:r>
        <w:t>Kantonsgericht KG Seite 4 von 7</w:t>
      </w:r>
    </w:p>
    <w:p>
      <w:r>
        <w:rPr>
          <w:b/>
        </w:rPr>
        <w:t>E. 2.2</w:t>
      </w:r>
    </w:p>
    <w:p>
      <w:r>
        <w:t>Hinsichtlich des Ereignisses vom 18. April 2018 wurde im Strafbefehl vom 27. Juni 2018 in tatsächlicher Hinsicht festgehalten, dass der Beschwerdeführer den Kreisverkehrsplatz in Nieder- wangen b. Bern (Riedmoosstrasse / Hallmattstrasse) derart unvorsichtig befahren habe, dass er nicht bemerkt habe, dass die vor ihm befindliche Fahrzeuglenkerin verkehrsbedingt vor dem Fuss- gängerstreifen habe anhalten müssen, so dass er in das stehende Fahrzeug der Geschädigten gefahren sei, wobei es nicht nur zu einem Sachschaden, sondern auch zu einem Personenscha- den gekommen sei. Der Strafbefehl vom 27. Juni 2018 ist unangefochten in Rechtskraft erwachsen, weshalb er zu einem rechtskräftigen Urteil erwachsen ist (Art. 354 Abs. 3 der Schweizerischen Strafprozessord- nung vom 5. Oktober 2007 [StPO; SR 312.0]). Entsprechend ist die Vorinstanz in ihrer Verfügung vom 16. August 2018 zu Recht vom Sachver- halt ausgegangen, der auch dem unangefochten gebliebenen Strafbefehl vom 27. Juni 2018 zu Grunde gelegt wurde. Der Beschwerdeführer erhebt denn auch keine Einwände in tatsächlicher Hinsicht.</w:t>
      </w:r>
    </w:p>
    <w:p>
      <w:r>
        <w:rPr>
          <w:b/>
        </w:rPr>
        <w:t>E. 3.1</w:t>
      </w:r>
    </w:p>
    <w:p>
      <w:r>
        <w:t>Der Führer muss das Fahrzeug ständig so beherrschen, dass er seinen Vorsichtspflichten nachkommen kann (Art. 31 Abs. 1 SVG). Er muss seine Aufmerksamkeit der Strasse und dem Verkehr zuwenden (Art. 3 Abs. 1 der Verkehrsregelnverordnung vom 13. November 1962 [VRV; SR 741.11]). Er hat gegenüber allen Strassenbenützern einen ausreichenden Abstand zu wahren, namentlich auch beim Hintereinanderfahren (Art. 34 Abs. 4 SVG). Auch bei überraschendem Bremsen des voranfahrenden Fahrzeugs muss er rechtzeitig halten können (Art. 12 Abs. 1 VRV). Diese Verkehrsregeln hat der Beschwerdeführer unstreitig verletzt.</w:t>
      </w:r>
    </w:p>
    <w:p>
      <w:r>
        <w:rPr>
          <w:b/>
        </w:rPr>
        <w:t>E. 3.2</w:t>
      </w:r>
    </w:p>
    <w:p>
      <w:r>
        <w:t>Ein Verfahren nach dem Ordnungsbussengesetz vom 24. Juni 1970 (OBG; SR 741.03) kommt für diese Widerhandlung nicht in Frage (vgl. Art. 2 lit. a OBG und Art. 3 Abs. 1 OBG i.V.m. der Ordnungsbussenverordnung), weshalb gestützt auf Art. 16 Abs. 2 SVG (grundsätzlich) der Führerausweis zu entziehen oder eine Verwarnung auszusprechen ist.</w:t>
      </w:r>
    </w:p>
    <w:p>
      <w:r>
        <w:rPr>
          <w:b/>
        </w:rPr>
        <w:t>E. 4</w:t>
      </w:r>
    </w:p>
    <w:p>
      <w:r>
        <w:t>Zu prüfen bleibt, ob die vom Beschwerdeführer begangene Verkehrsregelverletzung in rechtlicher Hinsicht eine leichte, mittelschwere oder schwere Widerhandlung gegen die Strassenverkehrsvor- schriften darstellt. Dass ein besonders leichter Fall vorliegt, bei dem auf jegliche Massnahme zu verzichten wäre (Art. 16a Abs. 4 SVG), wird vom Beschwerdeführer zu Recht nicht geltend gemacht.</w:t>
      </w:r>
    </w:p>
    <w:p>
      <w:r>
        <w:rPr>
          <w:b/>
        </w:rPr>
        <w:t>E. 4.1</w:t>
      </w:r>
    </w:p>
    <w:p>
      <w:r>
        <w:t>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w:t>
      </w:r>
    </w:p>
    <w:p>
      <w:r>
        <w:t>Kantonsgericht KG Seite 5 von 7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4.2</w:t>
      </w:r>
    </w:p>
    <w:p>
      <w:r>
        <w:t>Vorliegend ist festzustellen, dass der Beschwerdeführer in den von der geschädigten Fahrzeuglenkerin vor einem Fussgängerstreifen zum Stillstand gebrachten Personenwagen geprallt ist. Damit hat er nicht nur die Fahrzeuglenkerin konkret gefährdet, sondern auch den Fussgänger, der den Fussgängerstreifen überqueren wollte, zumindest abstrakt gefährdet. Auffahrunfälle können insbesondere bei den Insassen des voranfahrenden Fahrzeugs zu schweren Verletzungen führen. Bei Auffahrunfällen besteht die ernsthafte Gefahr,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(vgl. BGE 135 II 138 E. 2.3 mit Verweis auf BGE 134 III 489, 130 V 35 und 127 V 165). Diese Rückwärtsbeschleunigung kann gravierende gesundheitliche Folgen haben. Dies gilt nach der bundesgerichtlichen Rechtsprechung auch bei Auffahrkollisionen zwischen Personenwagen mit Aufprallgeschwindigkeiten von ca. 10-15 km/h. Bei solchen Unfällen liegt – auch ohne tatsächlichen Personenschaden – in der Regel ein mittelschwerer Fall mit konkreter Gefährdung des Unfallgegners vor (vgl. Urteile BGer 1C_575/2012 vom 5. Juli 2013 E. 5.1; 1C_156/2010 vom 26. Juli 2010 E. 5.1.2; 1C_75/2007 vom 13. September 2007 E. 3.2). Der Beschwerdeführer geht in seiner Beschwerde selbst davon aus, dass seine Aufprallgeschwindigkeit rund 15 km/h betragen habe. Dementsprechend kann die von ihm geschaffene Gefahr für die Sicherheit anderer nicht mehr als leicht eingestuft werden. Ob auch das Verschulden des Beschwerdeführers nicht mehr als leicht zu beurteilen gewesen wäre, kann damit offenbleiben. Folglich hat die Vorinstanz die vom Beschwerdeführer begangene Widerhandlung zu Recht als mittelschwer gemäss Art. 16b Abs. 1 lit. a SVG eingestuft.</w:t>
      </w:r>
    </w:p>
    <w:p>
      <w:r>
        <w:rPr>
          <w:b/>
        </w:rPr>
        <w:t>E. 5.1</w:t>
      </w:r>
    </w:p>
    <w:p>
      <w:r>
        <w:t>Gemäss Art. 16 Abs. 3 SVG sind bei der Festsetzung der Dauer des Führerausweisentzugs die Umstände des Einzelfalls zu berücksichtigen, namentlich die Gefährdung der Verkehrssicherheit, das Verschulden, der Leumund als Motorfahrzeugfahrer sowie die berufliche Notwendigkeit, ein Motorfahrzeug zu führen. Die Mindestentzugsdauer darf jedoch nicht unterschritten werden (BGE 132 II 234 E. 2.3).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(BGE 128 II 173 E. 4b; bestätigt in Urteil BGer 1C_710/2013 vom 7. Januar 2014 E. 3.2). Nach einer mittelschweren Widerhandlung ist der Führerausweis für mindestens vier Monate zu entziehen, wenn in den vorangegangenen zwei Jahren der Ausweis einmal wegen einer schweren</w:t>
      </w:r>
    </w:p>
    <w:p>
      <w:r>
        <w:t>Kantonsgericht KG Seite 6 von 7 oder mittelschweren Widerhandlung entzogen war (Art. 16b Abs. 2 lit. b SVG). Nach der gefestigten bundesgerichtlichen Rechtsprechung beginnt die Bewährungsfrist mit dem Ablauf der Dauer des vorangegangenen Ausweisentzugs (vgl. Urteile BGer 1C_580/2017 vom 1. Oktober 2018 E. 3.1; 1C_520/2016 vom 16. Februar 2017 E. 4.3; 1C_520/2013 vom 17. September 2013 E. 2.1 mit weiteren Hinweisen).</w:t>
      </w:r>
    </w:p>
    <w:p>
      <w:r>
        <w:rPr>
          <w:b/>
        </w:rPr>
        <w:t>E. 5.2</w:t>
      </w:r>
    </w:p>
    <w:p>
      <w:r>
        <w:t>Dem Beschwerdeführer wurde mit Verfügung vom 12. Mai 2016 bereits einmal wegen einer mittelschweren Widerhandlung gegen die Strassenverkehrsvorschriften der Führerausweis für eine beschränkte Dauer von einem Monat (2. Juni 2016 bis 1. Juli 2016) entzogen. Dies aufgrund eines Vorfalls vom 5. April 2016, bei dem der Beschwerdeführer infolge Unaufmerksamkeit und Nichtgewährens des Vortritts einen Unfall verursachte. Damit wurde dem Beschwerdeführer in den vorangegangenen zwei Jahren der Führerausweis bereits einmal wegen einer mittelschweren Widerhandlung entzogen, weshalb die vorliegend zu beurteilende Entzugsdauer von vier Monaten nicht zu beanstanden ist. Es handelt sich um die gesetzlich vorgeschriebene Mindestdauer (vgl. Art. 16b Abs. 2 lit. b SVG), die nicht unterschritten werden darf (vgl. BGE 132 II 234 E. 2.3). Die verfügte Entzugsdauer von vier Monaten kann demnach weder herabgesetzt, noch in eine Geldbusse oder Öffentlichkeitsarbeit umgewandelt werden, auch wenn der Beschwerdeführer, wie er selbst angibt, berufsbedingt auf den Führerschein angewiesen ist.</w:t>
      </w:r>
    </w:p>
    <w:p>
      <w:r>
        <w:rPr>
          <w:b/>
        </w:rPr>
        <w:t>E. 6</w:t>
      </w:r>
    </w:p>
    <w:p>
      <w:r>
        <w:t>Zusammenfassend ist festzustellen, dass die Vorinstanz ihr Ermessen weder überschritten noch missbraucht hat, indem sie dem Beschwerdeführer den Führerausweis für die Dauer von vier Monaten (spätestens ab dem 16. Februar 2019) entzogen hat. Die Beschwerde ist folglich abzuweisen und die angefochtene Verfügung der Vorinstanz vom 16. August 2018 zu bestätigen.</w:t>
      </w:r>
    </w:p>
    <w:p>
      <w:r>
        <w:rPr>
          <w:b/>
        </w:rPr>
        <w:t>E. 7</w:t>
      </w:r>
    </w:p>
    <w:p>
      <w:r>
        <w:t>Die Verfahrenskosten,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Abs. 1 VRG).</w:t>
      </w:r>
    </w:p>
    <w:p>
      <w:r>
        <w:t>Kantonsgericht KG Seite 7 von 7 Der Hof erkennt: I. Die Beschwerde wird abgewiesen. II. Die Verfahrenskosten von CHF 600.- werden A.________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14. Dezember 2018/dki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