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13 vom 14. März 2018</w:t>
      </w:r>
    </w:p>
    <w:p>
      <w:r>
        <w:t>FR Kantonsgericht, 2018-03-14, FR</w:t>
      </w:r>
    </w:p>
    <w:p>
      <w:r>
        <w:rPr>
          <w:b/>
        </w:rPr>
        <w:t xml:space="preserve">Quelle: </w:t>
      </w:r>
      <w:r>
        <w:t>https://mcp.opencaselaw.ch/entscheid/fr_gerichte_603_2018_13</w:t>
      </w:r>
    </w:p>
    <w:p>
      <w:r>
        <w:t>FR: FR_GERICHTE 603 2018 13 du 14 mars 2018</w:t>
      </w:r>
    </w:p>
    <w:p>
      <w:r>
        <w:t>IT: FR_GERICHTE 603 2018 13 del 14 marzo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Déposé dans le délai et les formes prescrits aux art. 79 à 81 du code fribourgeois du 23 mai 1991 de procédure et de juridiction administrative (CPJA; RSF 150.1), et l'avance de frais ayant été versée en temps utile, le recours est recevable en la forme. La Cour de céans peut dès lors entrer en matière sur ses mérites.</w:t>
      </w:r>
    </w:p>
    <w:p>
      <w:r>
        <w:rPr>
          <w:b/>
        </w:rPr>
        <w:t>E. 2</w:t>
      </w:r>
    </w:p>
    <w:p>
      <w:r>
        <w:t>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TA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arrêt TC FR 603 2015 174 du 24 novembre 2015).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t>Tribunal cantonal TC Page 4 de 8 b) En l'occurrence, le recourant a été condamné pénalement pour les faits suivants: ne pas avoir permis à un autre conducteur d'effectuer ses manœuvres et avoir franchi une ligne de sécurité, contrevenant ainsi aux dispositions des art. 26 al. 1, 27 al. 1, 34 al. 2 et 35 al. 7 LCR et des art. 3 al. 1 et 73 al. 6. let. a de l'ordonnance du 5 septembre 1979 sur la signalisation routière (OSR; RS 741.21). L'autorité pénale a retenu que "à la hauteur des virages sis entre les deux accès à la route de E.________, le conducteur A.________ s'est déporté sur la gauche à deux reprises alors que le conducteur D.________ voulait entreprendre son dépassement au volant du véhicule immatriculé FR fff; que, par la suite, à la sortie d'un virage, le conducteur A.________ a partiellement franchi la ligne de sécurité". Le recourant s'est déjà vu retirer son permis de conduire par le passé à sept reprises. Il ne pouvait ainsi pas ignorer qu'il risquait également un retrait de son permis de conduire et que, partant, il devait faire valoir ses moyens dans le cadre de la procédure pénale malgré le fait que, selon ses dires, la police lui aurait dit le contraire. En outre, ayant été avisé de l'ouverture de la procédure administrative par la CMA par courrier du</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au regard de l'importance de la gravité de la faute et de la mise en danger de la sécurité. On ne tient en revanche compte des antécédents du conducteur, de la nécessité professionnelle ou d'autres besoins particuliers de conduire qu'au moment de la fixation de la durée du retrait, et non pour le choix de la mesure à prendre (arrêt TF 6A.37/2003 du</w:t>
      </w:r>
    </w:p>
    <w:p>
      <w:r>
        <w:rPr>
          <w:b/>
        </w:rPr>
        <w:t>E. 5</w:t>
      </w:r>
    </w:p>
    <w:p>
      <w:r>
        <w:t>a) Selon l'art. 16b al. 2 let. b LCR, après une infraction moyennement grave, le permis d'élève conducteur ou le permis de conduire est retiré pour quatre mois au minimum si, au cours des deux années précédentes, le permis a été retiré une fois en raison d'une infraction grave ou moyennement grave. En vertu de l'art. 16 al. 3 LCR, les circonstances doivent être prises en considération pour fixer la durée du retrait du permis d'élève conducteur ou du permis de conduire - respectivement l'interdiction de conduire -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l'espèce, le recourant a déjà fait l'objet de sept retraits dont le dernier, pour une faute moyennement grave, a été exécuté jusqu'au 31 août 2015. La nouvelle infraction, commise dans les deux ans précédant la dernière infraction, entraîne le prononcé d'une mesure fondée sur l'art. 16b al. 2 let. b LCR. En fixant celle-ci à quatre mois, la CMA s'en est tenue à la durée légale minimale. Cette durée ne peut être réduite, pour quelque raison que ce soit (cf. art. 16 al. 3, dernière phrase, LCR; cf. ATF 132 II 234), notamment pas en raison d'un besoin professionnel de devoir disposer d'un permis de conduire. Au demeurant, la dernière faute moyenne inscrite dans le registre ADMAS, qui a fait l'objet d'une décision du 1er octobre 2015 et qui est entrée en force, ne peut pas être reconsidérée dans le cadre de la présente procédure.</w:t>
      </w:r>
    </w:p>
    <w:p>
      <w:r>
        <w:rPr>
          <w:b/>
        </w:rPr>
        <w:t>E. 6</w:t>
      </w:r>
    </w:p>
    <w:p>
      <w:r>
        <w:t>a) Pour l'ensemble des motifs qui précèdent, il faut constater que la CMA n'a pas violé la loi, ni commis un abus ou un excès de son pouvoir d'appréciation en prononçant à l'endroit du recourant un retrait de permis de conduire pour la durée de quatre mois. Sa décision doit dès lors être confirmée et le recours rejeté. b) Vu l'issue du recours, les frais de procédure doivent être mis à la charge du recourant qui succombe (art. 131 CPJA). c) Pour le même motif, il n'est pas alloué d'indemnité de partie (art. 137 CPJA). (dispositif sur la page suivante)</w:t>
      </w:r>
    </w:p>
    <w:p>
      <w:r>
        <w:t>Tribunal cantonal TC Page 8 de 8 la Cour arrête: I. Le recours est rejeté. Partant, la décision de la CMA du 7 décembre 2017 est confirmée. II. Les frais de procédure, par CHF 600.-, sont mis à la charge du recourant. Ils sont compensés avec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14 mars 2018/jfr/vth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