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124 vom 7. Februar 2019</w:t>
      </w:r>
    </w:p>
    <w:p>
      <w:r>
        <w:t>FR Kantonsgericht, 2019-02-07, DE</w:t>
      </w:r>
    </w:p>
    <w:p>
      <w:r>
        <w:rPr>
          <w:b/>
        </w:rPr>
        <w:t xml:space="preserve">Quelle: </w:t>
      </w:r>
      <w:r>
        <w:t>https://mcp.opencaselaw.ch/entscheid/fr_gerichte_603_2018_124</w:t>
      </w:r>
    </w:p>
    <w:p>
      <w:r>
        <w:t>FR: FR_GERICHTE 603 2018 124 du 7 février 2019</w:t>
      </w:r>
    </w:p>
    <w:p>
      <w:r>
        <w:t>IT: FR_GERICHTE 603 2018 124 del 7 febbraio 2019</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2</w:t>
      </w:r>
    </w:p>
    <w:p>
      <w:r>
        <w:t>de cette disposition, est apte à la conduite celui qui, notamment, a les aptitudes physiques et psychiques requises pour conduire un véhicule automobile en toute sécurité (let. b) et qui ne souffre d'aucune dépendance qui l'empêche de conduire un véhicule automobile en toute sécurité (let. c). Tribunal cantonal TC Page 4 de 7 Aux termes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(ATF 129 II 82 consid. 4.1; 127 II 122 consid. 3c et les références).</w:t>
      </w:r>
    </w:p>
    <w:p>
      <w:r>
        <w:rPr>
          <w:b/>
        </w:rPr>
        <w:t>E. 2.1</w:t>
      </w:r>
    </w:p>
    <w:p>
      <w:r>
        <w:t>Conformément à l'art 16 al. 1 de la loi du 19 décembre 1958 sur la circulation routière (LCR; RS 741.01), les permis de conduire doivent être retirés, à titre de sécurité, lorsque l'autorité constate que les conditions légales de leur délivrance, énoncées positivement par l'art. 14 al. 1 LCR, ne sont pas ou plus remplies. L'art. 14 LCR indique que tout conducteur de véhicule automobile doit posséder l'aptitude et les qualifications nécessaires à la conduite. En vertu de l'al.</w:t>
      </w:r>
    </w:p>
    <w:p>
      <w:r>
        <w:rPr>
          <w:b/>
        </w:rPr>
        <w:t>E. 2.2</w:t>
      </w:r>
    </w:p>
    <w:p>
      <w:r>
        <w:t>La décision de retrait de sécurité du permis pour cause d'inaptitude à la conduite constitue une atteinte grave à la personnalité et à la sphère privée de l'intéressé et elle doit reposer sur une instruction précise des circonstances déterminantes (ATF 139 II 95 consid. 3.4.1).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Lorsque l'autorité juge une expertise concluante et en fait sienne le résultat, le Tribunal cantonal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l'autorité ne pouvait tout simplement pas les ignorer. Il n'appartient pas au Tribunal cantonal de vérifier si toutes les affirmations de l'expert sont exemptes d'arbitraire; sa tâche se limite bien plutôt à examiner si l'autorité intimée pouvait, sans arbitraire, se rallier au résultat de l'expertise (ATF 133 II 384 consid. 4.2.3). La partie recourante doit montrer de manière précise en quoi la décision attaquée serait insoutenable (ATF 137 I 58 consid. 4.1.2; 134 II 244 consid. 2.2).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(ATF 129 II 82 consid. 6.2.1et les références). Les résultats ainsi obtenus doivent être appréciés en relation avec d'autres examens, tels que l'analyse approfondie des données personnelles, l'examen Tribunal cantonal TC Page 5 de 7 détaillé des courses effectuées en état d'ébriété, une anamnèse de l'alcoolisme - soit l'analyse du comportement de consommation (consommateur d'habitude ou occasionnel) de l'intéressé et de son impression subjective à ce propos - de même qu'un examen médical complet (cf. ATF 129 II 82 consid. 6.2.2; arrêt TF 1C_173/2009 du 27 mai 2009 consid. 3.1 et les arrêts et références cités).</w:t>
      </w:r>
    </w:p>
    <w:p>
      <w:r>
        <w:rPr>
          <w:b/>
        </w:rPr>
        <w:t>E. 3.1</w:t>
      </w:r>
    </w:p>
    <w:p>
      <w:r>
        <w:t>Dans le cas d'espèce, la recourante s'est vu retirer préventivement son permis de conduire, par décision du 20 mars 2018, pour conduite en état d'ébriété avec un taux d'alcoolémie dépassant la limite de 0,8 mg/l à partir de laquelle une consommation habituelle d'alcool peut être soupçonnée. Elle a été enjointe à se soumettre à une expertise, afin de déterminer son aptitude à conduire. L'expertise, datée du 6 juillet 2018, a été réalisée par un psychiatre spécialiste en médecine du trafic, en collaboration avec un psychologue spécialisé. Le rapport d'expertise est complet et circonstancié. Il comprend notamment le descriptif du mandat, l'anamnèse, le diagnostic et les conclusions. L'expert s'est fondé sur les observations cliniques relevées lors de la consultation, sur les résultats des tests Audit, sur l'examen capillaire effectué le 8 mai 2018 (83 pg/mg), ainsi que sur l'avis du médecin traitant de l'expertisée. Partant, force est de constater que les moyens d'investigation usuels en la matière ont été utilisés par un spécialiste de la médecine du trafic compétent pour procéder aux évaluations requises. Au terme de son analyse, l'expert a conclu à l'inaptitude à la conduite de la recourante.</w:t>
      </w:r>
    </w:p>
    <w:p>
      <w:r>
        <w:rPr>
          <w:b/>
        </w:rPr>
        <w:t>E. 3.2</w:t>
      </w:r>
    </w:p>
    <w:p>
      <w:r>
        <w:t>Au vu des conclusions de l'expertise, la CMA se devait manifestement d'écarter la recourante de la circulation, par le prononcé d'une mesure de sécurité fondée sur l'art. 16d al. 1 let. a et b LCR. Il convient en effet de rappeler que l'autorité administrative en matière de circulation routière n'est pas habilitée à déterminer l'aptitude médicale d'un automobiliste à la conduite de véhicules automobiles; elle doit s'en tenir aux avis des médecins (cf. PERRIN, Délivrance et retrait du permis de conduire, 1982, p. 128). Dès lors que ceux-ci concluent à une inaptitude à conduire, le permis de conduire doit être retiré. Le certificat du 10 septembre 2018 établi par le médecin traitant de la recourante ne permet pas une remise en cause de cette conclusion. Outre le fait qu'il énonce à tort que la recourante est abstinente de toute consommation d'alcool depuis plusieurs mois - ce qui entre en contradiction avec les résultats de l'analyse capillaire et du test d'alcoolémie effectué le 15 juin 2018 - il ne se fonde sur aucun examen biologique. Au demeurant, même si le médecin traitant trouve "la sanction exagérée", il n'atteste pas non plus de l'aptitude à la conduite de sa patiente.</w:t>
      </w:r>
    </w:p>
    <w:p>
      <w:r>
        <w:rPr>
          <w:b/>
        </w:rPr>
        <w:t>E. 3.3</w:t>
      </w:r>
    </w:p>
    <w:p>
      <w:r>
        <w:t>Au demeurant, il convient de rappeler que le retrait de sécurité ne constitue pas une sanction ayant pour but de punir un comportement fautif. A la différence du retrait d'admonestation, qui suppose une infraction fautive à une règle de la circulation, le retrait basé sur l'art. 16d al. 1 LCR constitue 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(PERRIN,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Tribunal cantonal TC Page 6 de 7 contraire, une mesure de protection qui vise à empêcher qu'un automobiliste jugé inapte à la conduite se mette au volant d'un véhicule et mette en danger la circulation (cf. PERRIN, p. 96). Dans ces conditions, l'intérêt personnel et/ou professionnel de la recourante à pouvoir disposer de son permis de conduire ne peut entrer en ligne de compte, la mesure prononcée à son endroit étant destinée à protéger sa sécurité et celle de l'ensemble des usagers de la route.</w:t>
      </w:r>
    </w:p>
    <w:p>
      <w:r>
        <w:rPr>
          <w:b/>
        </w:rPr>
        <w:t>E. 4.1</w:t>
      </w:r>
    </w:p>
    <w:p>
      <w:r>
        <w:t>Lorsque le permis de conduire est retiré pour cause d'inaptitude à conduire, il doit l'être pour une durée indéterminée (cf. art. 16d al. 1 let. a et c LCR). Le permis d’élève conducteur ou le permis de conduire retiré pour une durée indéterminée peut toutefois être restitué à certaines conditions après expiration d'un éventuel délai d'attente légal ou prescrit si la personne concernée peut prouver que son inaptitude à la conduite a disparu (art. 17 al. 3 LCR). L'art. 31 de l'ordonnance du 27 octobre 1976 réglant l'admission des personnes et des véhicules à la circulation routière (OAC; RS 741.51) précise que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Le retrait de sécurité est une mesure de durée indéterminée car il n'est pas possible de prévoir si et quand le conducteur retrouvera son aptitude à piloter un véhicule automobile d'une manière sûre. En pareille circonstance, la restitution de l'autorisation de police est notamment subordonnée à la disparition de la cause du retrait ainsi qu'à la preuve de la guérison. Il ne suffit pas que, du point de vue clinique, l'inaptitude ait disparu, il faut encore que l'intéressé démontre le succès de l'intervention médicale, si celle-ci est nécessaire, et ses capacités d'assumer les responsabilités qui incombent à tout conducteur.</w:t>
      </w:r>
    </w:p>
    <w:p>
      <w:r>
        <w:rPr>
          <w:b/>
        </w:rPr>
        <w:t>E. 4.2</w:t>
      </w:r>
    </w:p>
    <w:p>
      <w:r>
        <w:t>En l'espèce, la CMA a retiré le permis de conduire de l'intéressé pour une durée indéterminée, mais pour trois mois au moins, à compter du 12 mars 2018, tout en prévoyant la possibilité d'une réadmission à la circulation à des conditions liées à l'établissement d'une abstinence complète de toute consommation d'alcool durant une période de douze mois au moins, ainsi que d'un suivi alcoologique. Ces conditions, conformes à celles préconisées par l'expertise dont la valeur probante est confirmée, échappent à la critique. En effet, lorsqu'il s'agit de décider de la réadmission à la circulation d'un automobiliste déclaré inapte, celui-ci doit démontrer qu'il a recouvré les aptitudes physiques et psychiques suffisantes pour conduire avec sûreté des véhicules automobiles, à défaut de quoi la restitution du permis ne peut entrer en ligne de compte. Au demeurant, la recourante ne remet pas en cause ces conditions. Dès que l'aptitude à conduire de celle-ci sera médicalement attestée, la CMA pourra décider de sa réadmission à la circulation.</w:t>
      </w:r>
    </w:p>
    <w:p>
      <w:r>
        <w:rPr>
          <w:b/>
        </w:rPr>
        <w:t>E. 5.1</w:t>
      </w:r>
    </w:p>
    <w:p>
      <w:r>
        <w:t>Pour l'ensemble des motifs qui précèdent, le recours, mal fondé, doit être rejeté et la décision de la CMA confirmée.</w:t>
      </w:r>
    </w:p>
    <w:p>
      <w:r>
        <w:rPr>
          <w:b/>
        </w:rPr>
        <w:t>E. 5.2</w:t>
      </w:r>
    </w:p>
    <w:p>
      <w:r>
        <w:t>Vu l'issue du recours, les frais de la présente procédure doivent être mis à la charge de la recourante qui succombe (art. 131 CPJA). Tribunal cantonal TC Page 7 de 7 la Cour arrête : I. Le recours est rejeté. Partant, la décision du 2 août 2018 de la Commission des mesures administratives en matière de circulation routière est confirmée. II. Les frais de procédure, par CHF 600.-,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février 2019/mju/agi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