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122 vom 15. Oktober 2018</w:t>
      </w:r>
    </w:p>
    <w:p>
      <w:r>
        <w:t>FR Kantonsgericht, 2018-10-15, FR</w:t>
      </w:r>
    </w:p>
    <w:p>
      <w:r>
        <w:rPr>
          <w:b/>
        </w:rPr>
        <w:t xml:space="preserve">Quelle: </w:t>
      </w:r>
      <w:r>
        <w:t>https://mcp.opencaselaw.ch/entscheid/fr_gerichte_603_2018_122</w:t>
      </w:r>
    </w:p>
    <w:p>
      <w:r>
        <w:t>FR: FR_GERICHTE 603 2018 122 du 15 octobre 2018</w:t>
      </w:r>
    </w:p>
    <w:p>
      <w:r>
        <w:t>IT: FR_GERICHTE 603 2018 122 del 15 ottobre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Déposé dans le délai et les formes prescrits - l'avance de frais ayant été versée en temps utiles - le présent recours est recevable en vertu des art. 12 de la loi fribourgeoise du 12 novembre 1981 d'application de la législation fédérale sur la circulation routière (LALCR; RSF 781.1) et 79 à 81 du code fribourgeois du 23 mai 1991 de procédure et de juridiction administrative (CPJA; RSF 150.1). Le Tribunal cantonal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Il convient d'emblée de constater que le recourant ne conteste pas les faits qui lui sont reprochés. Partant, il est établi qu'il a dépassé de 36 km/h, marge de sécurité déduite, la vitesse autorisée hors localité de 80 km/h.</w:t>
      </w:r>
    </w:p>
    <w:p>
      <w:r>
        <w:t>Tribunal cantonal TC Page 3 de 5</w:t>
      </w:r>
    </w:p>
    <w:p>
      <w:r>
        <w:rPr>
          <w:b/>
        </w:rPr>
        <w:t>E. 3.1</w:t>
      </w:r>
    </w:p>
    <w:p>
      <w:r>
        <w:t>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en son alinéa 1er, que la vitesse maximale générale peut atteindre, lorsque les conditions de la route, de la circulation et de la visibilité sont favorables, 50 km/h dans les localités (let. a) et 80 km/h hors des localités, à l'exception des semi-autoroutes et des autoroutes (let. b). Selon l'art. 16c al. 1 let. a LCR, commet une infraction grave la personne qui, en violant gravement les règles de la circulation, crée un danger pour la sécurité d'autrui ou en prend le risque.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 autoroutes, et de 35 km/h ou plus sur les autoroutes (ATF 132 II 234 consid. 3.2; arrêt TF 1C_125/2016 du 25 octobre 2016 consid. 3.1).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w:t>
      </w:r>
    </w:p>
    <w:p>
      <w:r>
        <w:rPr>
          <w:b/>
        </w:rPr>
        <w:t>E. 3.2</w:t>
      </w:r>
    </w:p>
    <w:p>
      <w:r>
        <w:t>En l'occurrence, le recourant a dépassé de 36 km/h la vitesse maximale générale de 80 km/h autorisée en dehors des localités, ce qui est objectivement constitutif d'une infraction grave (art. 16c al. 1 let. a LCR). Aucune circonstance particulière ne justifie en l'espèce une appréciation plus nuancée de la gravité de la faute. En particulier, le fait que le recourant suivait un camion qui – à son avis – roulait trop lentement ne justifie pas l'excès de vitesse commis. Il est évident qu'une manœuvre de dépassement ne peut être exécutée qu'en respectant les limites de vitesse autorisées et à un endroit où la visibilité le permet sans enfreindre ces dernières. Partant, c'est à bon droit que la CMA a considéré que le recourant s'était rendu coupable d'une infraction grave au sens de l'art. 16c al. 1 let. a LCR en circulant à une vitesse de 116 km/h, marge de sécurité déduite, sur une route hors localité où la vitesse maximale est limitée à 80 km/h.</w:t>
      </w:r>
    </w:p>
    <w:p>
      <w:r>
        <w:rPr>
          <w:b/>
        </w:rPr>
        <w:t>E. 4.1</w:t>
      </w:r>
    </w:p>
    <w:p>
      <w:r>
        <w:t>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w:t>
      </w:r>
    </w:p>
    <w:p>
      <w:r>
        <w:t>Tribunal cantonal TC Page 4 de 5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w:t>
      </w:r>
    </w:p>
    <w:p>
      <w:r>
        <w:rPr>
          <w:b/>
        </w:rPr>
        <w:t>E. 4.2</w:t>
      </w:r>
    </w:p>
    <w:p>
      <w:r>
        <w:t>En l'espèce, le recourant a déjà fait l'objet d'un retrait du permis de conduire pour faute grave, prononcé par décision du 12 novembre 2015, mesure qu'il a exécutée jusqu'au 20 mars 2016. La nouvelle infraction grave du 8 mai 2018 a dès lors été manifestement commise dans les cinq ans suivant ce précédent retrait. Partant, la CMA se devait de prononcer un retrait de permis pour la durée minimale de douze mois, conformément à l'art. 16c al. 2 let. c LCR. En l'espèce, elle s'en est tenue à cette durée minimale, de sorte que sa décision échappe à toute critique, même si on devait reconnaître au recourant le besoin de disposer de son permis de conduire pour des raisons professionnelles.</w:t>
      </w:r>
    </w:p>
    <w:p>
      <w:r>
        <w:rPr>
          <w:b/>
        </w:rPr>
        <w:t>E. 5.1</w:t>
      </w:r>
    </w:p>
    <w:p>
      <w:r>
        <w:t>Pour l'ensemble des motifs qui précèdent, la décision de la CMA doit être confirmée et le recours rejeté.</w:t>
      </w:r>
    </w:p>
    <w:p>
      <w:r>
        <w:rPr>
          <w:b/>
        </w:rPr>
        <w:t>E. 5.2</w:t>
      </w:r>
    </w:p>
    <w:p>
      <w:r>
        <w:t>Vu l'issue du recours, les frais de procédure doivent être mis à la charge du recourant qui succombe (art. 131 CPJA). Pour le même motif, il n'est pas alloué d'indemnité de partie (137 CPJA). (dispositif en page suivante)</w:t>
      </w:r>
    </w:p>
    <w:p>
      <w:r>
        <w:t>Tribunal cantonal TC Page 5 de 5 la Cour arrête: I. Le recours est rejeté. Partant, la décision de la Commission des mesures administratives en matière de circulation routière du 19 juillet 2018 est confirmée. II. Les frais de procédure, par CHF 600.-, sont mis à la charge de A.________.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octobre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