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95 vom 24. Juli 2017</w:t>
      </w:r>
    </w:p>
    <w:p>
      <w:r>
        <w:t>FR Kantonsgericht, 2017-07-24, FR</w:t>
      </w:r>
    </w:p>
    <w:p>
      <w:r>
        <w:rPr>
          <w:b/>
        </w:rPr>
        <w:t xml:space="preserve">Quelle: </w:t>
      </w:r>
      <w:r>
        <w:t>https://mcp.opencaselaw.ch/entscheid/fr_gerichte_603_2017_95</w:t>
      </w:r>
    </w:p>
    <w:p>
      <w:r>
        <w:t>FR: FR_GERICHTE 603 2017 95 du 24 juillet 2017</w:t>
      </w:r>
    </w:p>
    <w:p>
      <w:r>
        <w:t>IT: FR_GERICHTE 603 2017 95 del 24 luglio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le 6 juin 2017 contre une décision du 11 mai 2017, le recours l'a été dans le délai et les formes prescrits aux art. 79 à 81 du code fribourgeois du 23 mai 1991 de procédure et de</w:t>
      </w:r>
    </w:p>
    <w:p>
      <w:r>
        <w:t>Tribunal cantonal TC Page 3 de 7 juridiction administrative (CPJA; RSF 150.1). L'avance de frais a été déposée dans le terme fixé (art. 128 CPJA). Le Tribunal cantonal peut donc entrer en matière sur les mérites du recours.</w:t>
      </w:r>
    </w:p>
    <w:p>
      <w:r>
        <w:rPr>
          <w:b/>
        </w:rPr>
        <w:t>E. 2</w:t>
      </w:r>
    </w:p>
    <w:p>
      <w:r>
        <w:t>Il sied d'emblée de relever que le recourant ne critique pas les faits qui lui sont reprochés. Ceux-ci ont du reste été établis par le Juge pénal et le recourant ne les a pas contestés plus avant dans le cadre de la procédure pénale. Partant, il faut constater que celui-ci a circulé au volant d'un véhicule automobile, accouplé à une remorque dont le poids effectif était dépassé de 287 kg (+ 38,26 %) par rapport au poids total autorisé par le permis de circulation.</w:t>
      </w:r>
    </w:p>
    <w:p>
      <w:r>
        <w:rPr>
          <w:b/>
        </w:rPr>
        <w:t>E. 3</w:t>
      </w:r>
    </w:p>
    <w:p>
      <w:r>
        <w:t>L'art. 29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En vertu de l'art. 30 al. 2 LCR, les véhicules ne doivent pas être surchargés. Le chargement doit être disposé de telle manière qu’il ne mette en danger ni ne gène personne et qu’il ne puisse tomber. Tout chargement qui dépasse le véhicule doit être signalé, de jour et de nuit, d’une façon particulièrement visible. L'art. 67 OCR a trait au poids des véhicules. Selon l'al. 3 de cette disposition, si les valeurs inscrites dans le permis de circulation sont inférieures aux valeurs maximales indiquées aux al. 1, 2, 6 et 7 de l'art. 67 OCR, lesdites valeurs ne doivent pas être dépassées. Au vu des faits établis, le recourant a violé les dispositions légales précitées. Une mesure administrative devait dès lors être prononcée.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w:t>
      </w:r>
    </w:p>
    <w:p>
      <w:r>
        <w:t>Tribunal cantonal TC Page 4 de 7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b) Selon la jurisprudence, la gravité de l'infraction pour conduite d'un véhicule surchargé varie selon les circonstances du cas d'espèce.</w:t>
      </w:r>
    </w:p>
    <w:p>
      <w:r>
        <w:t>Tribunal cantonal TC Page 5 de 7 Ainsi, le fait de circuler avec une voiture de livraison accusant un excédent de charge de 690 kg, soit un dépassement de 19,71 % du poids total maximum autorisé de 3'500 kg, a été qualifié d'infraction légère (arrêt TC VD CR.2007.0287 du 25 janvier 2008). Ont été considérés comme relevant d’une infraction moyennement grave le fait de conduire un semi-remorque présentant un excès du poids garanti de 46,54 % (arrêt TF 1C_456/2011 du 28 février 2012), de circuler au volant d'un véhicule de livraison présentant une surcharge de 34,11 % (arrêt TF 1C_181/2014 du 8 octobre 2014), de circuler avec une voiture de livraison pesant 4'860 kg, alors que le poids maximum total autorisé est de 3'500 kg, soit un dépassement de plus de 38 % (arrêt TC VD CR.2002.0115 du 2 octobre 2002), ou de conduire un véhicule dont la surcharge est de 1'476 kg, soit un dépassement de 42,17 % du poids maximum total autorisé de 3'500 kg (arrêt TC VD CR.2008.0049 du 2 juillet 2008). Il en a été de même dans les cas où un véhicule accusait une surcharge de 844 kg, soit un dépassement de 37,35 % du poids total maximum autorisé de 2'260 kg (arrêt TC VD CR.2008.0163 du 6 novembre 2008), des surcharges de 1'262 kg et de 865 kg, soit un dépassement de 36,06%, respectivement de 28,57 % du poids total maximum autorisé de 3'500 kg (arrêt TC VD CR.2008.0222 du 2 décembre 2008), et une surcharge de 1'156 kg, soit un dépassement de 33,03 % du poids total autorisé de 3'500 kg (arrêt TC VD CR.2013.0032 du 9 juillet 2013). A en revanche été tenu pour une infraction grave un dépassement du poids autorisé du véhicule de 26,69 % avec une charge utile plus de trois fois supérieure au maximum autorisé (arrêt TF 1C_353/2010 du 12 janvier 2011), le fait de circuler au volant d’un véhicule dont le poids autorisé est de 3'500 kg, avec un chargement de 5'432 kg (marge de sécurité déduite), l'excédent étant de 55,20 % (arrêt TC VD CR.2012.0007 du 7 novembre 2012), le cas où l’excédent de charge était de 1'893 kg, soit 54,09 % (arrêt TF 1C_690/2013 du 4 février 2014), et le cas où un véhicule accusait une surcharge de 1'970 kg, représentant 56,29 % du dépassement du poids total autorisé de 3'500 kg (arrêt TC VD CR.2013.0107 du 6 janvier 2014). c) En l'espèce, le recourant a conduit un véhicule de livraison accouplé à une remorque de marque Humbaur; celle-ci était chargée d'une brouette à chenilles. Le permis de circulation de cette remorque indique que le poids total – remorque et chargement – est de 750 kg, ce qui correspond au poids garanti contenu dans l'attestation "Réception suisse par type". Or, la remorque du recourant avait, au moment de la pesée, un poids effectif – marge d'erreur de 3 % déduite – de 1'037 kg, ce qui correspond à une surcharge de 38,26 %, en violation de l'art. 30 al. 2 LCR. Une surcharge de poids entraîne nécessairement des pressions accrues sur les différentes composantes du véhicule – en l'occurrence la remorque – en particulier les pneumatiques et l'essieu, augmentant le risque d'une défaillance technique. Une surcharge de poids modifie également considérablement les réactions du véhicule, notamment la distance de freinage. Dans ces circonstances (la surcharge de la remorque dépassant de plus du tiers la charge autorisée) et au vu de la jurisprudence précitée, il convient d'admettre que le recourant a créé une mise en danger abstraite du trafic, dès lors qu'il se trouvait aux commandes d'un véhicule accouplé à une remorque dont les caractéristiques techniques officiellement reconnues ne permettaient pas le transport d'un tel chargement. Le recourant fait certes valoir que, s'il n'avait pas sous-estimé le poids de la brouette à chenilles qu'il a chargée sur la remorque en surcharge, il aurait utilisé sa deuxième remorque (dont la charge utile est de 2'660 kg et le poids total de 3'500 kg). Or, cet argument ne change rien au fait qu'une mise en danger abstraite a été créée par le comportement du recourant, lequel ne devait</w:t>
      </w:r>
    </w:p>
    <w:p>
      <w:r>
        <w:t>Tribunal cantonal TC Page 6 de 7 du reste pas ignorer les poids maximum autorisés figurant dans le permis de circulation, dans la mesure où il est le patron d'une entreprise dans le domaine de la construction et le détenteur de la remorque utilisée pour son entreprise. Il doit assumer les conséquences liées au fait qu'il n'a pas vérifié que la charge ne dépassait pas les limites autorisées. Au demeurant, le fait que la police aurait laissé le recourant poursuivre sa route sans exiger que la remorque ne soit déchargée n'est pas non plus pertinent, dès lors que la décision de la police ne lie pas les autorités judiciaires. Sur le vu de ce qui précède, la qualification de la faute commise de moyennement grave par la CMA ne prête pas le flanc à la critique.</w:t>
      </w:r>
    </w:p>
    <w:p>
      <w:r>
        <w:rPr>
          <w:b/>
        </w:rPr>
        <w:t>E. 5</w:t>
      </w:r>
    </w:p>
    <w:p>
      <w:r>
        <w:t>a) Selon l'art. 16b al. 2 let. b LCR, après une infraction moyennement grave, le permis d'élève conducteur ou le permis de conduire est retiré pour la durée de quatre mois au minimum si, au cours des deux années précédentes, le permis a été retiré une fois en raison d’une infraction grave ou moyennement grave.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l'occurrence, le recourant a fait l'objet de plusieurs mesures administratives, dont un retrait de son permis de conduire pour la durée d'un mois en raison d'une infraction moyennement grave – mesure prononcée le 14 avril 2016 et exécutée jusqu'au 4 août 2016 – de sorte que l'infraction moyennement grave commise le 28 mars 2017 devait nécessairement entraîner le retrait de son permis pour la durée de quatre mois au minimum. La CMA s'en est tenue à cette durée minimale et, dans ces conditions, l'éventuel besoin professionnel du recourant de disposer de son permis de conduire ne pourrait pas permettre une réduction de la durée de celle-ci. En outre, selon la jurisprudence, un retrait de permis de conduire avec effet limité aux loisirs n'est pas compatible avec le but éducatif de cette mesure et avec la sécurité du trafic (arrêt TF 1C_288/2008 du 22 décembre 2008 consid. 4; ATF 128 II 173 consid. 3b). Dans ces conditions, c'est en vain que le recourant sollicite la possibilité de pouvoir conduire pour des courses professionnelles uniquement, du lundi au vendredi de 6h à 18h. La Cour est bien consciente des inconvénients – notamment dans l'organisation du travail – que le recourant aura à subir en raison du retrait de son permis; ceux-ci sont cependant inévitablement liés à la mesure admonestatoire que constitue le retrait litigieux et participent à sa fonction éducative. En commettant une infraction moyennement grave au code de la route, le recourant a pris le risque, non seulement de mettre en danger sa propre sécurité et celle des autres usagers de la voie publique, mais également celui de se voir retirer son permis de conduire. Au demeurant, il est rappelé au recourant que la décision attaquée l'autorise à conduire des véhicules des catégories spéciales G et M durant la période de retrait.</w:t>
      </w:r>
    </w:p>
    <w:p>
      <w:r>
        <w:t>Tribunal cantonal TC Page 7 de 7</w:t>
      </w:r>
    </w:p>
    <w:p>
      <w:r>
        <w:rPr>
          <w:b/>
        </w:rPr>
        <w:t>E. 6</w:t>
      </w:r>
    </w:p>
    <w:p>
      <w:r>
        <w:t>Pour l'ensemble des motifs qui précèdent, il faut constater que la décision de la CMA est conforme aux principes de la légalité et de la proportionnalité. Elle doit dès lors être confirmée et le recours rejeté. Compte tenu de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est rejeté. Partant, la décision du 11 mai 2017 de la CMA est confirmée. II. Les frais de procédure, par CHF 600.-, sont mis à la charge du recourant. Ils sont compensés par l'avance de frais qu'il a versée. III. Communication. Cette décision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24 juillet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